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5E62A" w14:textId="77777777" w:rsidR="00BA51AC" w:rsidRPr="00CE390A" w:rsidRDefault="00BA51AC">
      <w:pPr>
        <w:spacing w:line="1" w:lineRule="exact"/>
        <w:rPr>
          <w:lang w:val="en-US"/>
        </w:rPr>
      </w:pPr>
    </w:p>
    <w:p w14:paraId="131BA34A" w14:textId="77777777" w:rsidR="00BA51AC" w:rsidRPr="00CE390A" w:rsidRDefault="004313E0">
      <w:pPr>
        <w:pStyle w:val="Szvegtrzs1"/>
        <w:framePr w:w="9826" w:h="12365" w:hRule="exact" w:wrap="none" w:vAnchor="page" w:hAnchor="page" w:x="1038" w:y="1802"/>
        <w:jc w:val="center"/>
        <w:rPr>
          <w:lang w:val="en-US"/>
        </w:rPr>
      </w:pPr>
      <w:r w:rsidRPr="00CE390A">
        <w:rPr>
          <w:b/>
          <w:bCs/>
          <w:lang w:val="en-US"/>
        </w:rPr>
        <w:t>Information on FATCA</w:t>
      </w:r>
    </w:p>
    <w:p w14:paraId="2654130B" w14:textId="77777777" w:rsidR="00BA51AC" w:rsidRPr="00CE390A" w:rsidRDefault="004313E0">
      <w:pPr>
        <w:pStyle w:val="Cmsor10"/>
        <w:framePr w:w="9826" w:h="12365" w:hRule="exact" w:wrap="none" w:vAnchor="page" w:hAnchor="page" w:x="1038" w:y="1802"/>
        <w:numPr>
          <w:ilvl w:val="0"/>
          <w:numId w:val="1"/>
        </w:numPr>
        <w:tabs>
          <w:tab w:val="left" w:pos="566"/>
        </w:tabs>
        <w:rPr>
          <w:lang w:val="en-US"/>
        </w:rPr>
      </w:pPr>
      <w:bookmarkStart w:id="0" w:name="bookmark2"/>
      <w:bookmarkStart w:id="1" w:name="bookmark3"/>
      <w:bookmarkStart w:id="2" w:name="bookmark1"/>
      <w:bookmarkStart w:id="3" w:name="bookmark0"/>
      <w:bookmarkEnd w:id="0"/>
      <w:r w:rsidRPr="00CE390A">
        <w:rPr>
          <w:u w:val="single"/>
          <w:lang w:val="en-US"/>
        </w:rPr>
        <w:t>What is FATCA?</w:t>
      </w:r>
      <w:bookmarkEnd w:id="1"/>
      <w:bookmarkEnd w:id="2"/>
      <w:bookmarkEnd w:id="3"/>
    </w:p>
    <w:p w14:paraId="026B5994" w14:textId="77777777" w:rsidR="00BA51AC" w:rsidRPr="00CE390A" w:rsidRDefault="004313E0">
      <w:pPr>
        <w:pStyle w:val="Szvegtrzs1"/>
        <w:framePr w:w="9826" w:h="12365" w:hRule="exact" w:wrap="none" w:vAnchor="page" w:hAnchor="page" w:x="1038" w:y="1802"/>
        <w:jc w:val="both"/>
        <w:rPr>
          <w:lang w:val="en-US"/>
        </w:rPr>
      </w:pPr>
      <w:r w:rsidRPr="00CE390A">
        <w:rPr>
          <w:lang w:val="en-US"/>
        </w:rPr>
        <w:t>FATCA is an acronym that stands for the Foreign Account Tax Compliance Act, which was enacted in the U.S.A. The Government of Hungary and the Government of the United States of America entered into an agreement for improving international tax compliance and for exchanging data between the two countries, on the basis of which Act XIX of 2014 – the ‘FATCA Act’ – was introduced and the related legislation was amended.</w:t>
      </w:r>
    </w:p>
    <w:p w14:paraId="6B58284D" w14:textId="77777777" w:rsidR="00BA51AC" w:rsidRPr="00CE390A" w:rsidRDefault="004313E0">
      <w:pPr>
        <w:pStyle w:val="Cmsor10"/>
        <w:framePr w:w="9826" w:h="12365" w:hRule="exact" w:wrap="none" w:vAnchor="page" w:hAnchor="page" w:x="1038" w:y="1802"/>
        <w:numPr>
          <w:ilvl w:val="0"/>
          <w:numId w:val="1"/>
        </w:numPr>
        <w:tabs>
          <w:tab w:val="left" w:pos="566"/>
        </w:tabs>
        <w:jc w:val="both"/>
        <w:rPr>
          <w:lang w:val="en-US"/>
        </w:rPr>
      </w:pPr>
      <w:bookmarkStart w:id="4" w:name="bookmark6"/>
      <w:bookmarkStart w:id="5" w:name="bookmark7"/>
      <w:bookmarkStart w:id="6" w:name="bookmark5"/>
      <w:bookmarkStart w:id="7" w:name="bookmark4"/>
      <w:bookmarkEnd w:id="4"/>
      <w:r w:rsidRPr="00CE390A">
        <w:rPr>
          <w:u w:val="single"/>
          <w:lang w:val="en-US"/>
        </w:rPr>
        <w:t>The purpose of FATCA</w:t>
      </w:r>
      <w:bookmarkEnd w:id="5"/>
      <w:bookmarkEnd w:id="6"/>
      <w:bookmarkEnd w:id="7"/>
    </w:p>
    <w:p w14:paraId="300F1241" w14:textId="57392B6C" w:rsidR="00BA51AC" w:rsidRPr="00CE390A" w:rsidRDefault="004313E0">
      <w:pPr>
        <w:pStyle w:val="Szvegtrzs1"/>
        <w:framePr w:w="9826" w:h="12365" w:hRule="exact" w:wrap="none" w:vAnchor="page" w:hAnchor="page" w:x="1038" w:y="1802"/>
        <w:jc w:val="both"/>
        <w:rPr>
          <w:lang w:val="en-US"/>
        </w:rPr>
      </w:pPr>
      <w:r w:rsidRPr="00CE390A">
        <w:rPr>
          <w:lang w:val="en-US"/>
        </w:rPr>
        <w:t>The purpose of FATCA is to ensure that U.S. taxpayers also pay tax on any financial assets they hold outside the U.S.A. (hereinafter: United States or U.S.). To this end, the FATCA Act stipulates a reporting regime for financial institutions with regard to certain specified accounts. The United States imposes a 30% withholding tax – as from the date specified in the legislation – on income originating from U.S. sources (</w:t>
      </w:r>
      <w:r w:rsidR="00FA54B7" w:rsidRPr="00CE390A">
        <w:rPr>
          <w:lang w:val="en-US"/>
        </w:rPr>
        <w:t>e.g.,</w:t>
      </w:r>
      <w:r w:rsidRPr="00CE390A">
        <w:rPr>
          <w:lang w:val="en-US"/>
        </w:rPr>
        <w:t xml:space="preserve"> dividends, interest, royalties, rent, etc.) specified in the provision, if paid to a non-U.S. financial institution. The 30% withholding tax deduction obligation does not apply to cooperative institutions that enter into an agreement with the IRS (Internal Revenue Service - the U.S. tax authority) to subject their customers and processes to review and due diligence and to report on U.S. customers to the IRS (through the Hungarian National Tax and Customs Administration [NAV]), or where the country of residence of the financial institution concerned enters into an Intergovernmental Agreement with the U.S. whereby the institution must comply with the FATCA rules as transposed into local law. The Government of Hungary and the Government of the United States of America signed an intergovernmental agreement on February </w:t>
      </w:r>
      <w:r w:rsidR="003C3BC5">
        <w:rPr>
          <w:lang w:val="en-US"/>
        </w:rPr>
        <w:t xml:space="preserve">4, </w:t>
      </w:r>
      <w:r w:rsidRPr="00CE390A">
        <w:rPr>
          <w:lang w:val="en-US"/>
        </w:rPr>
        <w:t>2014</w:t>
      </w:r>
      <w:r w:rsidR="003C3BC5">
        <w:rPr>
          <w:lang w:val="en-US"/>
        </w:rPr>
        <w:t>,</w:t>
      </w:r>
      <w:r w:rsidRPr="00CE390A">
        <w:rPr>
          <w:lang w:val="en-US"/>
        </w:rPr>
        <w:t xml:space="preserve"> to support the automatic exchange of data between our countries’ tax authorities and the fulfillment of the tasks set out in the FATCA provisions. Pursuant to the FATCA Act, as from July</w:t>
      </w:r>
      <w:r w:rsidR="003C3BC5">
        <w:rPr>
          <w:lang w:val="en-US"/>
        </w:rPr>
        <w:t xml:space="preserve"> 1,</w:t>
      </w:r>
      <w:r w:rsidRPr="00CE390A">
        <w:rPr>
          <w:lang w:val="en-US"/>
        </w:rPr>
        <w:t xml:space="preserve"> 2014, all Financial Institutions in Hungary are required to implement a customer identification system to assist in determining the customers’ FATCA relevance and the applicable tax forms, to perform due diligence on their existing customers for FATCA relevance, and, furthermore, as from 2015, they are also required to report annually to the Hungarian national tax authority (NAV) on customers subject to FATCA.</w:t>
      </w:r>
    </w:p>
    <w:p w14:paraId="4D3C10F8" w14:textId="77777777" w:rsidR="00BA51AC" w:rsidRPr="00CE390A" w:rsidRDefault="004313E0">
      <w:pPr>
        <w:pStyle w:val="Cmsor10"/>
        <w:framePr w:w="9826" w:h="12365" w:hRule="exact" w:wrap="none" w:vAnchor="page" w:hAnchor="page" w:x="1038" w:y="1802"/>
        <w:numPr>
          <w:ilvl w:val="0"/>
          <w:numId w:val="1"/>
        </w:numPr>
        <w:tabs>
          <w:tab w:val="left" w:pos="566"/>
        </w:tabs>
        <w:rPr>
          <w:lang w:val="en-US"/>
        </w:rPr>
      </w:pPr>
      <w:bookmarkStart w:id="8" w:name="bookmark10"/>
      <w:bookmarkStart w:id="9" w:name="bookmark9"/>
      <w:bookmarkStart w:id="10" w:name="bookmark8"/>
      <w:bookmarkStart w:id="11" w:name="bookmark11"/>
      <w:bookmarkEnd w:id="8"/>
      <w:r w:rsidRPr="00CE390A">
        <w:rPr>
          <w:u w:val="single"/>
          <w:lang w:val="en-US"/>
        </w:rPr>
        <w:t>Making a declaration</w:t>
      </w:r>
      <w:bookmarkEnd w:id="9"/>
      <w:bookmarkEnd w:id="10"/>
      <w:bookmarkEnd w:id="11"/>
    </w:p>
    <w:p w14:paraId="1463CD44" w14:textId="3125DBA4" w:rsidR="00BA51AC" w:rsidRPr="00CE390A" w:rsidRDefault="004313E0">
      <w:pPr>
        <w:pStyle w:val="Szvegtrzs1"/>
        <w:framePr w:w="9826" w:h="12365" w:hRule="exact" w:wrap="none" w:vAnchor="page" w:hAnchor="page" w:x="1038" w:y="1802"/>
        <w:jc w:val="both"/>
        <w:rPr>
          <w:lang w:val="en-US"/>
        </w:rPr>
      </w:pPr>
      <w:r w:rsidRPr="00CE390A">
        <w:rPr>
          <w:lang w:val="en-US"/>
        </w:rPr>
        <w:t>In order for our Bank to determine whether or not the Account Holder is a U.S. tax resident based on the criteria specified, the Account Holder must complete a FATCA declaration form issued</w:t>
      </w:r>
      <w:r w:rsidR="00FA54B7">
        <w:rPr>
          <w:lang w:val="en-US"/>
        </w:rPr>
        <w:t xml:space="preserve"> </w:t>
      </w:r>
      <w:r w:rsidRPr="00CE390A">
        <w:rPr>
          <w:lang w:val="en-US"/>
        </w:rPr>
        <w:t>by MagNet Bank Zrt. Our branch employees will be happy to assist you in completing the declaration form at any of our branches.</w:t>
      </w:r>
    </w:p>
    <w:p w14:paraId="53C67501" w14:textId="7115F6F8" w:rsidR="00BA51AC" w:rsidRPr="00CE390A" w:rsidRDefault="004313E0">
      <w:pPr>
        <w:pStyle w:val="Szvegtrzs1"/>
        <w:framePr w:w="9826" w:h="12365" w:hRule="exact" w:wrap="none" w:vAnchor="page" w:hAnchor="page" w:x="1038" w:y="1802"/>
        <w:jc w:val="both"/>
        <w:rPr>
          <w:lang w:val="en-US"/>
        </w:rPr>
      </w:pPr>
      <w:r w:rsidRPr="00CE390A">
        <w:rPr>
          <w:lang w:val="en-US"/>
        </w:rPr>
        <w:t>Each person (individual or legal person) is required to submit one valid declaration, which may be amended or withdrawn at any time. However, you will need to make a new declaration if the U.S. relevance of your data changes (</w:t>
      </w:r>
      <w:r w:rsidR="00FA54B7" w:rsidRPr="00CE390A">
        <w:rPr>
          <w:lang w:val="en-US"/>
        </w:rPr>
        <w:t>e.g.,</w:t>
      </w:r>
      <w:r w:rsidRPr="00CE390A">
        <w:rPr>
          <w:lang w:val="en-US"/>
        </w:rPr>
        <w:t xml:space="preserve"> you move to the United States or move from there to Hungary), or if the information in your previous declaration changes. In such a case, you may be required to provide additional documents.</w:t>
      </w:r>
    </w:p>
    <w:p w14:paraId="7F839641" w14:textId="77777777" w:rsidR="00BA51AC" w:rsidRPr="00CE390A" w:rsidRDefault="004313E0">
      <w:pPr>
        <w:pStyle w:val="Szvegtrzs1"/>
        <w:framePr w:w="9826" w:h="12365" w:hRule="exact" w:wrap="none" w:vAnchor="page" w:hAnchor="page" w:x="1038" w:y="1802"/>
        <w:spacing w:after="0" w:line="254" w:lineRule="auto"/>
        <w:jc w:val="both"/>
        <w:rPr>
          <w:lang w:val="en-US"/>
        </w:rPr>
      </w:pPr>
      <w:r w:rsidRPr="00CE390A">
        <w:rPr>
          <w:b/>
          <w:bCs/>
          <w:lang w:val="en-US"/>
        </w:rPr>
        <w:t>The Bank will not enter into a contractual relationship with new Account Holder Customers who do not make a declaration, or whose declaration is incomplete, and the Bank may terminate the financial accounts of existing Account Holder Customers who do not make a declaration.</w:t>
      </w:r>
    </w:p>
    <w:p w14:paraId="76283538" w14:textId="77777777" w:rsidR="00BA51AC" w:rsidRPr="00CE390A" w:rsidRDefault="004313E0">
      <w:pPr>
        <w:framePr w:wrap="none" w:vAnchor="page" w:hAnchor="page" w:x="10705" w:y="15597"/>
        <w:rPr>
          <w:sz w:val="2"/>
          <w:szCs w:val="2"/>
          <w:lang w:val="en-US"/>
        </w:rPr>
      </w:pPr>
      <w:r w:rsidRPr="00CE390A">
        <w:rPr>
          <w:noProof/>
          <w:lang w:val="en-US"/>
        </w:rPr>
        <w:drawing>
          <wp:inline distT="0" distB="0" distL="0" distR="0" wp14:anchorId="2023412C" wp14:editId="0387FCFF">
            <wp:extent cx="88265" cy="12509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88265" cy="125095"/>
                    </a:xfrm>
                    <a:prstGeom prst="rect">
                      <a:avLst/>
                    </a:prstGeom>
                  </pic:spPr>
                </pic:pic>
              </a:graphicData>
            </a:graphic>
          </wp:inline>
        </w:drawing>
      </w:r>
    </w:p>
    <w:p w14:paraId="1D524A8B" w14:textId="77777777" w:rsidR="00BA51AC" w:rsidRPr="00CE390A" w:rsidRDefault="004313E0">
      <w:pPr>
        <w:framePr w:wrap="none" w:vAnchor="page" w:hAnchor="page" w:x="1048" w:y="683"/>
        <w:rPr>
          <w:sz w:val="2"/>
          <w:szCs w:val="2"/>
          <w:lang w:val="en-US"/>
        </w:rPr>
      </w:pPr>
      <w:r w:rsidRPr="00CE390A">
        <w:rPr>
          <w:noProof/>
          <w:lang w:val="en-US"/>
        </w:rPr>
        <w:drawing>
          <wp:inline distT="0" distB="0" distL="0" distR="0" wp14:anchorId="1301651B" wp14:editId="37908591">
            <wp:extent cx="814070" cy="661670"/>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814070" cy="661670"/>
                    </a:xfrm>
                    <a:prstGeom prst="rect">
                      <a:avLst/>
                    </a:prstGeom>
                  </pic:spPr>
                </pic:pic>
              </a:graphicData>
            </a:graphic>
          </wp:inline>
        </w:drawing>
      </w:r>
    </w:p>
    <w:p w14:paraId="6C29CCD1" w14:textId="77777777" w:rsidR="00BA51AC" w:rsidRPr="00CE390A" w:rsidRDefault="00BA51AC">
      <w:pPr>
        <w:spacing w:line="1" w:lineRule="exact"/>
        <w:rPr>
          <w:lang w:val="en-US"/>
        </w:rPr>
        <w:sectPr w:rsidR="00BA51AC" w:rsidRPr="00CE390A">
          <w:headerReference w:type="default" r:id="rId9"/>
          <w:pgSz w:w="11900" w:h="16840"/>
          <w:pgMar w:top="1042" w:right="360" w:bottom="360" w:left="360" w:header="0" w:footer="3" w:gutter="0"/>
          <w:cols w:space="720"/>
          <w:noEndnote/>
          <w:docGrid w:linePitch="360"/>
        </w:sectPr>
      </w:pPr>
    </w:p>
    <w:p w14:paraId="1AA36357" w14:textId="77777777" w:rsidR="00BA51AC" w:rsidRPr="00CE390A" w:rsidRDefault="00BA51AC">
      <w:pPr>
        <w:spacing w:line="1" w:lineRule="exact"/>
        <w:rPr>
          <w:lang w:val="en-US"/>
        </w:rPr>
      </w:pPr>
    </w:p>
    <w:p w14:paraId="0926CC5D" w14:textId="77777777" w:rsidR="00BA51AC" w:rsidRPr="00CE390A" w:rsidRDefault="004313E0">
      <w:pPr>
        <w:pStyle w:val="Cmsor10"/>
        <w:framePr w:w="9826" w:h="13296" w:hRule="exact" w:wrap="none" w:vAnchor="page" w:hAnchor="page" w:x="958" w:y="1802"/>
        <w:numPr>
          <w:ilvl w:val="0"/>
          <w:numId w:val="1"/>
        </w:numPr>
        <w:tabs>
          <w:tab w:val="left" w:pos="566"/>
        </w:tabs>
        <w:rPr>
          <w:lang w:val="en-US"/>
        </w:rPr>
      </w:pPr>
      <w:bookmarkStart w:id="12" w:name="bookmark14"/>
      <w:bookmarkStart w:id="13" w:name="bookmark15"/>
      <w:bookmarkStart w:id="14" w:name="bookmark13"/>
      <w:bookmarkStart w:id="15" w:name="bookmark12"/>
      <w:bookmarkEnd w:id="12"/>
      <w:r w:rsidRPr="00CE390A">
        <w:rPr>
          <w:u w:val="single"/>
          <w:lang w:val="en-US"/>
        </w:rPr>
        <w:t>U.S. Account Holder</w:t>
      </w:r>
      <w:bookmarkEnd w:id="13"/>
      <w:bookmarkEnd w:id="14"/>
      <w:bookmarkEnd w:id="15"/>
    </w:p>
    <w:p w14:paraId="307AB167" w14:textId="77777777" w:rsidR="00BA51AC" w:rsidRPr="00CE390A" w:rsidRDefault="004313E0">
      <w:pPr>
        <w:pStyle w:val="Szvegtrzs1"/>
        <w:framePr w:w="9826" w:h="13296" w:hRule="exact" w:wrap="none" w:vAnchor="page" w:hAnchor="page" w:x="958" w:y="1802"/>
        <w:rPr>
          <w:lang w:val="en-US"/>
        </w:rPr>
      </w:pPr>
      <w:r w:rsidRPr="00CE390A">
        <w:rPr>
          <w:u w:val="single"/>
          <w:lang w:val="en-US"/>
        </w:rPr>
        <w:t>In the case of individuals:</w:t>
      </w:r>
    </w:p>
    <w:p w14:paraId="6DF476EF" w14:textId="77777777" w:rsidR="00BA51AC" w:rsidRPr="00CE390A" w:rsidRDefault="004313E0">
      <w:pPr>
        <w:pStyle w:val="Szvegtrzs1"/>
        <w:framePr w:w="9826" w:h="13296" w:hRule="exact" w:wrap="none" w:vAnchor="page" w:hAnchor="page" w:x="958" w:y="1802"/>
        <w:rPr>
          <w:lang w:val="en-US"/>
        </w:rPr>
      </w:pPr>
      <w:r w:rsidRPr="00CE390A">
        <w:rPr>
          <w:lang w:val="en-US"/>
        </w:rPr>
        <w:t>A U.S. Person is considered to be an individual Account Holder who is</w:t>
      </w:r>
    </w:p>
    <w:p w14:paraId="5683A9B5" w14:textId="77777777" w:rsidR="00BA51AC" w:rsidRPr="00CE390A" w:rsidRDefault="004313E0">
      <w:pPr>
        <w:pStyle w:val="Szvegtrzs1"/>
        <w:framePr w:w="9826" w:h="13296" w:hRule="exact" w:wrap="none" w:vAnchor="page" w:hAnchor="page" w:x="958" w:y="1802"/>
        <w:numPr>
          <w:ilvl w:val="0"/>
          <w:numId w:val="2"/>
        </w:numPr>
        <w:tabs>
          <w:tab w:val="left" w:pos="875"/>
        </w:tabs>
        <w:spacing w:after="40"/>
        <w:ind w:firstLine="600"/>
        <w:jc w:val="both"/>
        <w:rPr>
          <w:lang w:val="en-US"/>
        </w:rPr>
      </w:pPr>
      <w:bookmarkStart w:id="16" w:name="bookmark16"/>
      <w:bookmarkEnd w:id="16"/>
      <w:r w:rsidRPr="00CE390A">
        <w:rPr>
          <w:lang w:val="en-US"/>
        </w:rPr>
        <w:t>a citizen of the United States, or</w:t>
      </w:r>
    </w:p>
    <w:p w14:paraId="14125A66" w14:textId="77777777" w:rsidR="00BA51AC" w:rsidRPr="00CE390A" w:rsidRDefault="004313E0">
      <w:pPr>
        <w:pStyle w:val="Szvegtrzs1"/>
        <w:framePr w:w="9826" w:h="13296" w:hRule="exact" w:wrap="none" w:vAnchor="page" w:hAnchor="page" w:x="958" w:y="1802"/>
        <w:numPr>
          <w:ilvl w:val="0"/>
          <w:numId w:val="2"/>
        </w:numPr>
        <w:tabs>
          <w:tab w:val="left" w:pos="875"/>
        </w:tabs>
        <w:ind w:firstLine="600"/>
        <w:jc w:val="both"/>
        <w:rPr>
          <w:lang w:val="en-US"/>
        </w:rPr>
      </w:pPr>
      <w:bookmarkStart w:id="17" w:name="bookmark17"/>
      <w:bookmarkEnd w:id="17"/>
      <w:r w:rsidRPr="00CE390A">
        <w:rPr>
          <w:lang w:val="en-US"/>
        </w:rPr>
        <w:t>is a tax resident of the United States</w:t>
      </w:r>
    </w:p>
    <w:p w14:paraId="1F22C623" w14:textId="77777777" w:rsidR="00BA51AC" w:rsidRPr="00CE390A" w:rsidRDefault="004313E0">
      <w:pPr>
        <w:pStyle w:val="Szvegtrzs1"/>
        <w:framePr w:w="9826" w:h="13296" w:hRule="exact" w:wrap="none" w:vAnchor="page" w:hAnchor="page" w:x="958" w:y="1802"/>
        <w:spacing w:line="254" w:lineRule="auto"/>
        <w:jc w:val="both"/>
        <w:rPr>
          <w:lang w:val="en-US"/>
        </w:rPr>
      </w:pPr>
      <w:r w:rsidRPr="00CE390A">
        <w:rPr>
          <w:b/>
          <w:bCs/>
          <w:lang w:val="en-US"/>
        </w:rPr>
        <w:t>The definition of tax residency is to be interpreted in accordance with the U.S. Internal Revenue Code (hereinafter: Internal Revenue Code). Annex 1 to this document provides further information on U.S. tax residency.</w:t>
      </w:r>
    </w:p>
    <w:p w14:paraId="1417E058" w14:textId="1467ECAF" w:rsidR="00BA51AC" w:rsidRPr="00CE390A" w:rsidRDefault="004313E0">
      <w:pPr>
        <w:pStyle w:val="Szvegtrzs1"/>
        <w:framePr w:w="9826" w:h="13296" w:hRule="exact" w:wrap="none" w:vAnchor="page" w:hAnchor="page" w:x="958" w:y="1802"/>
        <w:spacing w:line="254" w:lineRule="auto"/>
        <w:jc w:val="both"/>
        <w:rPr>
          <w:lang w:val="en-US"/>
        </w:rPr>
      </w:pPr>
      <w:r w:rsidRPr="00CE390A">
        <w:rPr>
          <w:b/>
          <w:bCs/>
          <w:lang w:val="en-US"/>
        </w:rPr>
        <w:t>It is the Account Holder’s responsibility to become familiar with the U.S. Internal Revenue Code, if necessary, before making a declaration. This information is not exhaustive, is not to be considered an official position statement and may not in any respect be construed as tax advice by the Bank to be relied upon by the Account Holder vis-a-vis any authority. The Bank excludes</w:t>
      </w:r>
      <w:r w:rsidR="00FA54B7">
        <w:rPr>
          <w:b/>
          <w:bCs/>
          <w:lang w:val="en-US"/>
        </w:rPr>
        <w:t xml:space="preserve"> </w:t>
      </w:r>
      <w:r w:rsidRPr="00CE390A">
        <w:rPr>
          <w:b/>
          <w:bCs/>
          <w:lang w:val="en-US"/>
        </w:rPr>
        <w:t>any liability that the Account Holder may have in connection with its knowledge or interpretation of the U.S. Internal Revenue Code.</w:t>
      </w:r>
    </w:p>
    <w:p w14:paraId="73064936" w14:textId="77777777" w:rsidR="00BA51AC" w:rsidRPr="00CE390A" w:rsidRDefault="004313E0">
      <w:pPr>
        <w:pStyle w:val="Szvegtrzs1"/>
        <w:framePr w:w="9826" w:h="13296" w:hRule="exact" w:wrap="none" w:vAnchor="page" w:hAnchor="page" w:x="958" w:y="1802"/>
        <w:rPr>
          <w:lang w:val="en-US"/>
        </w:rPr>
      </w:pPr>
      <w:r w:rsidRPr="00CE390A">
        <w:rPr>
          <w:u w:val="single"/>
          <w:lang w:val="en-US"/>
        </w:rPr>
        <w:t>In the case of legal persons:</w:t>
      </w:r>
    </w:p>
    <w:p w14:paraId="53339421" w14:textId="77777777" w:rsidR="00BA51AC" w:rsidRPr="00CE390A" w:rsidRDefault="004313E0">
      <w:pPr>
        <w:pStyle w:val="Szvegtrzs1"/>
        <w:framePr w:w="9826" w:h="13296" w:hRule="exact" w:wrap="none" w:vAnchor="page" w:hAnchor="page" w:x="958" w:y="1802"/>
        <w:rPr>
          <w:lang w:val="en-US"/>
        </w:rPr>
      </w:pPr>
      <w:r w:rsidRPr="00CE390A">
        <w:rPr>
          <w:lang w:val="en-US"/>
        </w:rPr>
        <w:t>A legal-person Account Holder is considered a U.S. Person if it</w:t>
      </w:r>
    </w:p>
    <w:p w14:paraId="66EA9C4F" w14:textId="4E027530" w:rsidR="00BA51AC" w:rsidRPr="00CE390A" w:rsidRDefault="004313E0" w:rsidP="004313E0">
      <w:pPr>
        <w:pStyle w:val="Szvegtrzs1"/>
        <w:framePr w:w="9826" w:h="13296" w:hRule="exact" w:wrap="none" w:vAnchor="page" w:hAnchor="page" w:x="958" w:y="1802"/>
        <w:numPr>
          <w:ilvl w:val="0"/>
          <w:numId w:val="2"/>
        </w:numPr>
        <w:tabs>
          <w:tab w:val="left" w:pos="875"/>
        </w:tabs>
        <w:ind w:left="851" w:hanging="251"/>
        <w:jc w:val="both"/>
        <w:rPr>
          <w:lang w:val="en-US"/>
        </w:rPr>
      </w:pPr>
      <w:bookmarkStart w:id="18" w:name="bookmark18"/>
      <w:bookmarkEnd w:id="18"/>
      <w:r w:rsidRPr="00CE390A">
        <w:rPr>
          <w:lang w:val="en-US"/>
        </w:rPr>
        <w:t>was established in the United States, has its registered office in the United States, and has a U.S. tax number.</w:t>
      </w:r>
    </w:p>
    <w:p w14:paraId="517B6E38" w14:textId="77777777" w:rsidR="00BA51AC" w:rsidRPr="00CE390A" w:rsidRDefault="004313E0">
      <w:pPr>
        <w:pStyle w:val="Cmsor10"/>
        <w:framePr w:w="9826" w:h="13296" w:hRule="exact" w:wrap="none" w:vAnchor="page" w:hAnchor="page" w:x="958" w:y="1802"/>
        <w:numPr>
          <w:ilvl w:val="0"/>
          <w:numId w:val="1"/>
        </w:numPr>
        <w:tabs>
          <w:tab w:val="left" w:pos="566"/>
        </w:tabs>
        <w:rPr>
          <w:lang w:val="en-US"/>
        </w:rPr>
      </w:pPr>
      <w:bookmarkStart w:id="19" w:name="bookmark21"/>
      <w:bookmarkStart w:id="20" w:name="bookmark22"/>
      <w:bookmarkStart w:id="21" w:name="bookmark20"/>
      <w:bookmarkStart w:id="22" w:name="bookmark19"/>
      <w:bookmarkEnd w:id="19"/>
      <w:r w:rsidRPr="00CE390A">
        <w:rPr>
          <w:u w:val="single"/>
          <w:lang w:val="en-US"/>
        </w:rPr>
        <w:t>Reportable persons:</w:t>
      </w:r>
      <w:bookmarkEnd w:id="20"/>
      <w:bookmarkEnd w:id="21"/>
      <w:bookmarkEnd w:id="22"/>
    </w:p>
    <w:p w14:paraId="07404D4A" w14:textId="77777777" w:rsidR="00BA51AC" w:rsidRPr="00CE390A" w:rsidRDefault="004313E0">
      <w:pPr>
        <w:pStyle w:val="Szvegtrzs1"/>
        <w:framePr w:w="9826" w:h="13296" w:hRule="exact" w:wrap="none" w:vAnchor="page" w:hAnchor="page" w:x="958" w:y="1802"/>
        <w:rPr>
          <w:lang w:val="en-US"/>
        </w:rPr>
      </w:pPr>
      <w:r w:rsidRPr="00CE390A">
        <w:rPr>
          <w:u w:val="single"/>
          <w:lang w:val="en-US"/>
        </w:rPr>
        <w:t>In the case of individuals:</w:t>
      </w:r>
    </w:p>
    <w:p w14:paraId="48E1B56C" w14:textId="77777777" w:rsidR="00BA51AC" w:rsidRPr="00CE390A" w:rsidRDefault="004313E0">
      <w:pPr>
        <w:pStyle w:val="Szvegtrzs1"/>
        <w:framePr w:w="9826" w:h="13296" w:hRule="exact" w:wrap="none" w:vAnchor="page" w:hAnchor="page" w:x="958" w:y="1802"/>
        <w:numPr>
          <w:ilvl w:val="0"/>
          <w:numId w:val="2"/>
        </w:numPr>
        <w:tabs>
          <w:tab w:val="left" w:pos="875"/>
        </w:tabs>
        <w:ind w:firstLine="600"/>
        <w:jc w:val="both"/>
        <w:rPr>
          <w:lang w:val="en-US"/>
        </w:rPr>
      </w:pPr>
      <w:bookmarkStart w:id="23" w:name="bookmark23"/>
      <w:bookmarkEnd w:id="23"/>
      <w:r w:rsidRPr="00CE390A">
        <w:rPr>
          <w:lang w:val="en-US"/>
        </w:rPr>
        <w:t>U.S. Person</w:t>
      </w:r>
    </w:p>
    <w:p w14:paraId="15F9CA27" w14:textId="77777777" w:rsidR="00BA51AC" w:rsidRPr="00CE390A" w:rsidRDefault="004313E0">
      <w:pPr>
        <w:pStyle w:val="Szvegtrzs1"/>
        <w:framePr w:w="9826" w:h="13296" w:hRule="exact" w:wrap="none" w:vAnchor="page" w:hAnchor="page" w:x="958" w:y="1802"/>
        <w:rPr>
          <w:lang w:val="en-US"/>
        </w:rPr>
      </w:pPr>
      <w:r w:rsidRPr="00CE390A">
        <w:rPr>
          <w:u w:val="single"/>
          <w:lang w:val="en-US"/>
        </w:rPr>
        <w:t>In the case of legal persons:</w:t>
      </w:r>
    </w:p>
    <w:p w14:paraId="2ACCEC72" w14:textId="77777777" w:rsidR="00BA51AC" w:rsidRPr="00CE390A" w:rsidRDefault="004313E0">
      <w:pPr>
        <w:pStyle w:val="Szvegtrzs1"/>
        <w:framePr w:w="9826" w:h="13296" w:hRule="exact" w:wrap="none" w:vAnchor="page" w:hAnchor="page" w:x="958" w:y="1802"/>
        <w:numPr>
          <w:ilvl w:val="0"/>
          <w:numId w:val="2"/>
        </w:numPr>
        <w:tabs>
          <w:tab w:val="left" w:pos="875"/>
        </w:tabs>
        <w:spacing w:after="40"/>
        <w:ind w:left="900" w:hanging="300"/>
        <w:jc w:val="both"/>
        <w:rPr>
          <w:lang w:val="en-US"/>
        </w:rPr>
      </w:pPr>
      <w:bookmarkStart w:id="24" w:name="bookmark24"/>
      <w:bookmarkEnd w:id="24"/>
      <w:r w:rsidRPr="00CE390A">
        <w:rPr>
          <w:lang w:val="en-US"/>
        </w:rPr>
        <w:t>Specified U.S. Person (This is defined in Annex 1 to this Information.)</w:t>
      </w:r>
    </w:p>
    <w:p w14:paraId="1297A6B0" w14:textId="77777777" w:rsidR="00BA51AC" w:rsidRPr="00CE390A" w:rsidRDefault="004313E0">
      <w:pPr>
        <w:pStyle w:val="Szvegtrzs1"/>
        <w:framePr w:w="9826" w:h="13296" w:hRule="exact" w:wrap="none" w:vAnchor="page" w:hAnchor="page" w:x="958" w:y="1802"/>
        <w:numPr>
          <w:ilvl w:val="0"/>
          <w:numId w:val="2"/>
        </w:numPr>
        <w:tabs>
          <w:tab w:val="left" w:pos="875"/>
        </w:tabs>
        <w:ind w:left="900" w:hanging="300"/>
        <w:jc w:val="both"/>
        <w:rPr>
          <w:lang w:val="en-US"/>
        </w:rPr>
      </w:pPr>
      <w:bookmarkStart w:id="25" w:name="bookmark25"/>
      <w:bookmarkEnd w:id="25"/>
      <w:r w:rsidRPr="00CE390A">
        <w:rPr>
          <w:lang w:val="en-US"/>
        </w:rPr>
        <w:t xml:space="preserve">It was established in or outside Hungary, it is classified as a Passive Non-Financial Entity </w:t>
      </w:r>
      <w:r w:rsidRPr="00CE390A">
        <w:rPr>
          <w:b/>
          <w:bCs/>
          <w:lang w:val="en-US"/>
        </w:rPr>
        <w:t xml:space="preserve">but its beneficial owner is a U.S. tax-resident natural person </w:t>
      </w:r>
      <w:r w:rsidRPr="00CE390A">
        <w:rPr>
          <w:lang w:val="en-US"/>
        </w:rPr>
        <w:t>(the term ‘Passive Non-Financial Entity’ is defined in Annex 1 to this Information.)</w:t>
      </w:r>
    </w:p>
    <w:p w14:paraId="5EE2562C" w14:textId="77777777" w:rsidR="00BA51AC" w:rsidRPr="00CE390A" w:rsidRDefault="004313E0">
      <w:pPr>
        <w:pStyle w:val="Szvegtrzs1"/>
        <w:framePr w:w="9826" w:h="13296" w:hRule="exact" w:wrap="none" w:vAnchor="page" w:hAnchor="page" w:x="958" w:y="1802"/>
        <w:rPr>
          <w:lang w:val="en-US"/>
        </w:rPr>
      </w:pPr>
      <w:r w:rsidRPr="00CE390A">
        <w:rPr>
          <w:lang w:val="en-US"/>
        </w:rPr>
        <w:t>The following information available to the Bank indicates U.S. tax residency (U.S. indicia)</w:t>
      </w:r>
    </w:p>
    <w:p w14:paraId="2C10C494" w14:textId="77777777" w:rsidR="00BA51AC" w:rsidRPr="00CE390A" w:rsidRDefault="004313E0">
      <w:pPr>
        <w:pStyle w:val="Szvegtrzs1"/>
        <w:framePr w:w="9826" w:h="13296" w:hRule="exact" w:wrap="none" w:vAnchor="page" w:hAnchor="page" w:x="958" w:y="1802"/>
        <w:numPr>
          <w:ilvl w:val="0"/>
          <w:numId w:val="2"/>
        </w:numPr>
        <w:tabs>
          <w:tab w:val="left" w:pos="875"/>
        </w:tabs>
        <w:spacing w:after="40"/>
        <w:ind w:firstLine="600"/>
        <w:jc w:val="both"/>
        <w:rPr>
          <w:lang w:val="en-US"/>
        </w:rPr>
      </w:pPr>
      <w:bookmarkStart w:id="26" w:name="bookmark26"/>
      <w:bookmarkEnd w:id="26"/>
      <w:r w:rsidRPr="00CE390A">
        <w:rPr>
          <w:lang w:val="en-US"/>
        </w:rPr>
        <w:t>Identification of the Account Holder as a citizen or resident of the United States;</w:t>
      </w:r>
    </w:p>
    <w:p w14:paraId="1A523F81" w14:textId="77777777" w:rsidR="00BA51AC" w:rsidRPr="00CE390A" w:rsidRDefault="004313E0">
      <w:pPr>
        <w:pStyle w:val="Szvegtrzs1"/>
        <w:framePr w:w="9826" w:h="13296" w:hRule="exact" w:wrap="none" w:vAnchor="page" w:hAnchor="page" w:x="958" w:y="1802"/>
        <w:numPr>
          <w:ilvl w:val="0"/>
          <w:numId w:val="2"/>
        </w:numPr>
        <w:tabs>
          <w:tab w:val="left" w:pos="875"/>
        </w:tabs>
        <w:spacing w:after="40"/>
        <w:ind w:firstLine="600"/>
        <w:jc w:val="both"/>
        <w:rPr>
          <w:lang w:val="en-US"/>
        </w:rPr>
      </w:pPr>
      <w:bookmarkStart w:id="27" w:name="bookmark27"/>
      <w:bookmarkEnd w:id="27"/>
      <w:r w:rsidRPr="00CE390A">
        <w:rPr>
          <w:lang w:val="en-US"/>
        </w:rPr>
        <w:t>unambiguous indication of place of birth in the United States;</w:t>
      </w:r>
    </w:p>
    <w:p w14:paraId="605AF441" w14:textId="77777777" w:rsidR="00BA51AC" w:rsidRPr="00CE390A" w:rsidRDefault="004313E0">
      <w:pPr>
        <w:pStyle w:val="Szvegtrzs1"/>
        <w:framePr w:w="9826" w:h="13296" w:hRule="exact" w:wrap="none" w:vAnchor="page" w:hAnchor="page" w:x="958" w:y="1802"/>
        <w:numPr>
          <w:ilvl w:val="0"/>
          <w:numId w:val="2"/>
        </w:numPr>
        <w:tabs>
          <w:tab w:val="left" w:pos="875"/>
        </w:tabs>
        <w:spacing w:after="40"/>
        <w:ind w:left="900" w:hanging="300"/>
        <w:jc w:val="both"/>
        <w:rPr>
          <w:lang w:val="en-US"/>
        </w:rPr>
      </w:pPr>
      <w:bookmarkStart w:id="28" w:name="bookmark28"/>
      <w:bookmarkEnd w:id="28"/>
      <w:r w:rsidRPr="00CE390A">
        <w:rPr>
          <w:lang w:val="en-US"/>
        </w:rPr>
        <w:t>current U.S. mailing or residence address (including a U.S. post office box);</w:t>
      </w:r>
    </w:p>
    <w:p w14:paraId="1C594AE4" w14:textId="77777777" w:rsidR="00BA51AC" w:rsidRPr="00CE390A" w:rsidRDefault="004313E0">
      <w:pPr>
        <w:pStyle w:val="Szvegtrzs1"/>
        <w:framePr w:w="9826" w:h="13296" w:hRule="exact" w:wrap="none" w:vAnchor="page" w:hAnchor="page" w:x="958" w:y="1802"/>
        <w:numPr>
          <w:ilvl w:val="0"/>
          <w:numId w:val="2"/>
        </w:numPr>
        <w:tabs>
          <w:tab w:val="left" w:pos="875"/>
        </w:tabs>
        <w:spacing w:after="40"/>
        <w:ind w:firstLine="600"/>
        <w:jc w:val="both"/>
        <w:rPr>
          <w:lang w:val="en-US"/>
        </w:rPr>
      </w:pPr>
      <w:bookmarkStart w:id="29" w:name="bookmark29"/>
      <w:bookmarkEnd w:id="29"/>
      <w:r w:rsidRPr="00CE390A">
        <w:rPr>
          <w:lang w:val="en-US"/>
        </w:rPr>
        <w:t>current U.S. telephone number;</w:t>
      </w:r>
    </w:p>
    <w:p w14:paraId="289AC82C" w14:textId="77777777" w:rsidR="00BA51AC" w:rsidRPr="00CE390A" w:rsidRDefault="004313E0">
      <w:pPr>
        <w:pStyle w:val="Szvegtrzs1"/>
        <w:framePr w:w="9826" w:h="13296" w:hRule="exact" w:wrap="none" w:vAnchor="page" w:hAnchor="page" w:x="958" w:y="1802"/>
        <w:numPr>
          <w:ilvl w:val="0"/>
          <w:numId w:val="2"/>
        </w:numPr>
        <w:tabs>
          <w:tab w:val="left" w:pos="875"/>
        </w:tabs>
        <w:spacing w:after="40"/>
        <w:ind w:firstLine="600"/>
        <w:jc w:val="both"/>
        <w:rPr>
          <w:lang w:val="en-US"/>
        </w:rPr>
      </w:pPr>
      <w:bookmarkStart w:id="30" w:name="bookmark30"/>
      <w:bookmarkEnd w:id="30"/>
      <w:r w:rsidRPr="00CE390A">
        <w:rPr>
          <w:lang w:val="en-US"/>
        </w:rPr>
        <w:t>a standing order to transfer funds to an account in the United States;</w:t>
      </w:r>
    </w:p>
    <w:p w14:paraId="54FE146D" w14:textId="77777777" w:rsidR="00BA51AC" w:rsidRPr="00CE390A" w:rsidRDefault="004313E0">
      <w:pPr>
        <w:pStyle w:val="Szvegtrzs1"/>
        <w:framePr w:w="9826" w:h="13296" w:hRule="exact" w:wrap="none" w:vAnchor="page" w:hAnchor="page" w:x="958" w:y="1802"/>
        <w:numPr>
          <w:ilvl w:val="0"/>
          <w:numId w:val="2"/>
        </w:numPr>
        <w:tabs>
          <w:tab w:val="left" w:pos="875"/>
        </w:tabs>
        <w:spacing w:after="40"/>
        <w:ind w:left="900" w:hanging="300"/>
        <w:jc w:val="both"/>
        <w:rPr>
          <w:lang w:val="en-US"/>
        </w:rPr>
      </w:pPr>
      <w:bookmarkStart w:id="31" w:name="bookmark31"/>
      <w:bookmarkEnd w:id="31"/>
      <w:r w:rsidRPr="00CE390A">
        <w:rPr>
          <w:lang w:val="en-US"/>
        </w:rPr>
        <w:t>currently effective power of attorney or signatory authority granted to a person with a U.S. address; or</w:t>
      </w:r>
    </w:p>
    <w:p w14:paraId="5CD0EF28" w14:textId="7008F626" w:rsidR="004313E0" w:rsidRPr="00CE390A" w:rsidRDefault="004313E0" w:rsidP="004313E0">
      <w:pPr>
        <w:pStyle w:val="Szvegtrzs1"/>
        <w:framePr w:w="9826" w:h="13296" w:hRule="exact" w:wrap="none" w:vAnchor="page" w:hAnchor="page" w:x="958" w:y="1802"/>
        <w:spacing w:after="300"/>
        <w:ind w:left="900"/>
        <w:jc w:val="both"/>
        <w:rPr>
          <w:lang w:val="en-US"/>
        </w:rPr>
      </w:pPr>
      <w:bookmarkStart w:id="32" w:name="bookmark32"/>
      <w:bookmarkEnd w:id="32"/>
      <w:r w:rsidRPr="00CE390A">
        <w:rPr>
          <w:lang w:val="en-US"/>
        </w:rPr>
        <w:t xml:space="preserve">an “in-care-of” or “hold mail” address that is the sole address the Reporting Hungarian Financial Institution has on file for the Account Holder. In the case of a Preexisting Individual Account that is a Lower Value Account, an “in-care-of” address or “hold mail” address outside the United States is </w:t>
      </w:r>
      <w:r w:rsidR="00CE390A" w:rsidRPr="00CE390A">
        <w:rPr>
          <w:lang w:val="en-US"/>
        </w:rPr>
        <w:t xml:space="preserve">not </w:t>
      </w:r>
      <w:r w:rsidR="00CE390A">
        <w:rPr>
          <w:lang w:val="en-US"/>
        </w:rPr>
        <w:t xml:space="preserve">to </w:t>
      </w:r>
      <w:r w:rsidRPr="00CE390A">
        <w:rPr>
          <w:lang w:val="en-US"/>
        </w:rPr>
        <w:t>be considered an indication of a U.S. connection (U.S. indicia).</w:t>
      </w:r>
    </w:p>
    <w:p w14:paraId="32628EA3" w14:textId="5673BE8D" w:rsidR="00BA51AC" w:rsidRPr="00CE390A" w:rsidRDefault="00BA51AC">
      <w:pPr>
        <w:pStyle w:val="Szvegtrzs1"/>
        <w:framePr w:w="9826" w:h="13296" w:hRule="exact" w:wrap="none" w:vAnchor="page" w:hAnchor="page" w:x="958" w:y="1802"/>
        <w:numPr>
          <w:ilvl w:val="0"/>
          <w:numId w:val="2"/>
        </w:numPr>
        <w:tabs>
          <w:tab w:val="left" w:pos="875"/>
        </w:tabs>
        <w:spacing w:after="0"/>
        <w:ind w:left="900" w:hanging="300"/>
        <w:jc w:val="both"/>
        <w:rPr>
          <w:lang w:val="en-US"/>
        </w:rPr>
      </w:pPr>
    </w:p>
    <w:p w14:paraId="0A06D26B" w14:textId="77777777" w:rsidR="00BA51AC" w:rsidRPr="00CE390A" w:rsidRDefault="004313E0">
      <w:pPr>
        <w:framePr w:wrap="none" w:vAnchor="page" w:hAnchor="page" w:x="10630" w:y="15597"/>
        <w:rPr>
          <w:sz w:val="2"/>
          <w:szCs w:val="2"/>
          <w:lang w:val="en-US"/>
        </w:rPr>
      </w:pPr>
      <w:r w:rsidRPr="00CE390A">
        <w:rPr>
          <w:noProof/>
          <w:lang w:val="en-US"/>
        </w:rPr>
        <w:drawing>
          <wp:inline distT="0" distB="0" distL="0" distR="0" wp14:anchorId="3E60CD77" wp14:editId="22B71424">
            <wp:extent cx="91440" cy="125095"/>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stretch/>
                  </pic:blipFill>
                  <pic:spPr>
                    <a:xfrm>
                      <a:off x="0" y="0"/>
                      <a:ext cx="91440" cy="125095"/>
                    </a:xfrm>
                    <a:prstGeom prst="rect">
                      <a:avLst/>
                    </a:prstGeom>
                  </pic:spPr>
                </pic:pic>
              </a:graphicData>
            </a:graphic>
          </wp:inline>
        </w:drawing>
      </w:r>
    </w:p>
    <w:p w14:paraId="42C3061F" w14:textId="77777777" w:rsidR="00BA51AC" w:rsidRPr="00CE390A" w:rsidRDefault="004313E0">
      <w:pPr>
        <w:framePr w:wrap="none" w:vAnchor="page" w:hAnchor="page" w:x="934" w:y="664"/>
        <w:rPr>
          <w:sz w:val="2"/>
          <w:szCs w:val="2"/>
          <w:lang w:val="en-US"/>
        </w:rPr>
      </w:pPr>
      <w:r w:rsidRPr="00CE390A">
        <w:rPr>
          <w:noProof/>
          <w:lang w:val="en-US"/>
        </w:rPr>
        <w:drawing>
          <wp:inline distT="0" distB="0" distL="0" distR="0" wp14:anchorId="648C6E9C" wp14:editId="7A7C4616">
            <wp:extent cx="853440" cy="670560"/>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stretch/>
                  </pic:blipFill>
                  <pic:spPr>
                    <a:xfrm>
                      <a:off x="0" y="0"/>
                      <a:ext cx="853440" cy="670560"/>
                    </a:xfrm>
                    <a:prstGeom prst="rect">
                      <a:avLst/>
                    </a:prstGeom>
                  </pic:spPr>
                </pic:pic>
              </a:graphicData>
            </a:graphic>
          </wp:inline>
        </w:drawing>
      </w:r>
    </w:p>
    <w:p w14:paraId="5E67F2BB" w14:textId="77777777" w:rsidR="00BA51AC" w:rsidRPr="00CE390A" w:rsidRDefault="00BA51AC">
      <w:pPr>
        <w:spacing w:line="1" w:lineRule="exact"/>
        <w:rPr>
          <w:lang w:val="en-US"/>
        </w:rPr>
        <w:sectPr w:rsidR="00BA51AC" w:rsidRPr="00CE390A">
          <w:pgSz w:w="11900" w:h="16840"/>
          <w:pgMar w:top="360" w:right="360" w:bottom="360" w:left="360" w:header="0" w:footer="3" w:gutter="0"/>
          <w:cols w:space="720"/>
          <w:noEndnote/>
          <w:docGrid w:linePitch="360"/>
        </w:sectPr>
      </w:pPr>
    </w:p>
    <w:p w14:paraId="54D7C653" w14:textId="77777777" w:rsidR="00BA51AC" w:rsidRPr="00CE390A" w:rsidRDefault="00BA51AC">
      <w:pPr>
        <w:spacing w:line="1" w:lineRule="exact"/>
        <w:rPr>
          <w:lang w:val="en-US"/>
        </w:rPr>
      </w:pPr>
    </w:p>
    <w:p w14:paraId="5B4C205D" w14:textId="32B25C61" w:rsidR="00BA51AC" w:rsidRPr="00CE390A" w:rsidRDefault="004313E0">
      <w:pPr>
        <w:pStyle w:val="Szvegtrzs1"/>
        <w:framePr w:w="9826" w:h="13267" w:hRule="exact" w:wrap="none" w:vAnchor="page" w:hAnchor="page" w:x="958" w:y="1802"/>
        <w:spacing w:line="254" w:lineRule="auto"/>
        <w:jc w:val="both"/>
        <w:rPr>
          <w:lang w:val="en-US"/>
        </w:rPr>
      </w:pPr>
      <w:r w:rsidRPr="00CE390A">
        <w:rPr>
          <w:b/>
          <w:bCs/>
          <w:lang w:val="en-US"/>
        </w:rPr>
        <w:t xml:space="preserve">For the purposes of the application of FATCA, the Bank will treat as U.S. tax residents all Account Holders who qualify as such pursuant to the above provisions. It is the account holder’s responsibility to prove the contrary with credible documents and a declaration </w:t>
      </w:r>
      <w:r w:rsidR="00CE390A" w:rsidRPr="00CE390A">
        <w:rPr>
          <w:b/>
          <w:bCs/>
          <w:lang w:val="en-US"/>
        </w:rPr>
        <w:t>made by</w:t>
      </w:r>
      <w:r w:rsidRPr="00CE390A">
        <w:rPr>
          <w:b/>
          <w:bCs/>
          <w:lang w:val="en-US"/>
        </w:rPr>
        <w:t xml:space="preserve"> him or her.</w:t>
      </w:r>
    </w:p>
    <w:p w14:paraId="12827338" w14:textId="77777777" w:rsidR="00BA51AC" w:rsidRPr="00CE390A" w:rsidRDefault="004313E0">
      <w:pPr>
        <w:pStyle w:val="Cmsor10"/>
        <w:framePr w:w="9826" w:h="13267" w:hRule="exact" w:wrap="none" w:vAnchor="page" w:hAnchor="page" w:x="958" w:y="1802"/>
        <w:numPr>
          <w:ilvl w:val="0"/>
          <w:numId w:val="1"/>
        </w:numPr>
        <w:tabs>
          <w:tab w:val="left" w:pos="569"/>
        </w:tabs>
        <w:jc w:val="both"/>
        <w:rPr>
          <w:lang w:val="en-US"/>
        </w:rPr>
      </w:pPr>
      <w:bookmarkStart w:id="33" w:name="bookmark35"/>
      <w:bookmarkStart w:id="34" w:name="bookmark36"/>
      <w:bookmarkStart w:id="35" w:name="bookmark34"/>
      <w:bookmarkStart w:id="36" w:name="bookmark33"/>
      <w:bookmarkEnd w:id="33"/>
      <w:r w:rsidRPr="00CE390A">
        <w:rPr>
          <w:u w:val="single"/>
          <w:lang w:val="en-US"/>
        </w:rPr>
        <w:t>Documents to be submitted:</w:t>
      </w:r>
      <w:bookmarkEnd w:id="34"/>
      <w:bookmarkEnd w:id="35"/>
      <w:bookmarkEnd w:id="36"/>
    </w:p>
    <w:p w14:paraId="318AE03F" w14:textId="45B62686" w:rsidR="00BA51AC" w:rsidRPr="00CE390A" w:rsidRDefault="004313E0">
      <w:pPr>
        <w:pStyle w:val="Szvegtrzs1"/>
        <w:framePr w:w="9826" w:h="13267" w:hRule="exact" w:wrap="none" w:vAnchor="page" w:hAnchor="page" w:x="958" w:y="1802"/>
        <w:jc w:val="both"/>
        <w:rPr>
          <w:lang w:val="en-US"/>
        </w:rPr>
      </w:pPr>
      <w:r w:rsidRPr="00CE390A">
        <w:rPr>
          <w:lang w:val="en-US"/>
        </w:rPr>
        <w:t>If any of the above criteria indicate a U.S. connection, and, regardless of this data, the customer still declares that he/she does not consider himself/herself to be a U.S. tax resident, in this case he/she must prove that he/she is not a U</w:t>
      </w:r>
      <w:r w:rsidR="00F85D51">
        <w:rPr>
          <w:lang w:val="en-US"/>
        </w:rPr>
        <w:t>.</w:t>
      </w:r>
      <w:r w:rsidRPr="00CE390A">
        <w:rPr>
          <w:lang w:val="en-US"/>
        </w:rPr>
        <w:t>S</w:t>
      </w:r>
      <w:r w:rsidR="00F85D51">
        <w:rPr>
          <w:lang w:val="en-US"/>
        </w:rPr>
        <w:t>.</w:t>
      </w:r>
      <w:r w:rsidRPr="00CE390A">
        <w:rPr>
          <w:lang w:val="en-US"/>
        </w:rPr>
        <w:t xml:space="preserve"> tax resident, despite the data indicative of U.S. connections. In such a case, we request that the following documents be submitted:</w:t>
      </w:r>
    </w:p>
    <w:p w14:paraId="37C98D81" w14:textId="77777777" w:rsidR="00BA51AC" w:rsidRPr="00CE390A" w:rsidRDefault="004313E0">
      <w:pPr>
        <w:pStyle w:val="Szvegtrzs1"/>
        <w:framePr w:w="9826" w:h="13267" w:hRule="exact" w:wrap="none" w:vAnchor="page" w:hAnchor="page" w:x="958" w:y="1802"/>
        <w:numPr>
          <w:ilvl w:val="0"/>
          <w:numId w:val="2"/>
        </w:numPr>
        <w:tabs>
          <w:tab w:val="left" w:pos="760"/>
        </w:tabs>
        <w:spacing w:after="60"/>
        <w:ind w:left="760" w:hanging="360"/>
        <w:jc w:val="both"/>
        <w:rPr>
          <w:lang w:val="en-US"/>
        </w:rPr>
      </w:pPr>
      <w:bookmarkStart w:id="37" w:name="bookmark37"/>
      <w:bookmarkEnd w:id="37"/>
      <w:r w:rsidRPr="00CE390A">
        <w:rPr>
          <w:lang w:val="en-US"/>
        </w:rPr>
        <w:t>A foreign (non-U.S.) passport or other personal identification document proving foreign citizenship must be presented at a branch of the Bank.</w:t>
      </w:r>
    </w:p>
    <w:p w14:paraId="4A4665AE" w14:textId="77777777" w:rsidR="00BA51AC" w:rsidRPr="00CE390A" w:rsidRDefault="004313E0">
      <w:pPr>
        <w:pStyle w:val="Szvegtrzs1"/>
        <w:framePr w:w="9826" w:h="13267" w:hRule="exact" w:wrap="none" w:vAnchor="page" w:hAnchor="page" w:x="958" w:y="1802"/>
        <w:numPr>
          <w:ilvl w:val="0"/>
          <w:numId w:val="2"/>
        </w:numPr>
        <w:tabs>
          <w:tab w:val="left" w:pos="760"/>
        </w:tabs>
        <w:spacing w:after="60"/>
        <w:ind w:left="760" w:hanging="360"/>
        <w:jc w:val="both"/>
        <w:rPr>
          <w:lang w:val="en-US"/>
        </w:rPr>
      </w:pPr>
      <w:bookmarkStart w:id="38" w:name="bookmark38"/>
      <w:bookmarkEnd w:id="38"/>
      <w:r w:rsidRPr="00CE390A">
        <w:rPr>
          <w:lang w:val="en-US"/>
        </w:rPr>
        <w:t>If the place of birth is in the U.S., any other documentation in addition to the documentation mentioned above, in order to substantiate that the Account Holder has not acquired U.S. citizenship or, if his/her former U.S. citizenship has ceased, a copy of the document proving cessation of his/her citizenship; or a reasonable explanation as to why the Account Holder does not have such a certificate even though he/she has renounced his/her U.S. citizenship or why the Account Holder did not acquire U.S. citizenship at birth).</w:t>
      </w:r>
    </w:p>
    <w:p w14:paraId="09B7998F" w14:textId="77777777" w:rsidR="00BA51AC" w:rsidRPr="00CE390A" w:rsidRDefault="004313E0">
      <w:pPr>
        <w:pStyle w:val="Szvegtrzs1"/>
        <w:framePr w:w="9826" w:h="13267" w:hRule="exact" w:wrap="none" w:vAnchor="page" w:hAnchor="page" w:x="958" w:y="1802"/>
        <w:numPr>
          <w:ilvl w:val="0"/>
          <w:numId w:val="2"/>
        </w:numPr>
        <w:tabs>
          <w:tab w:val="left" w:pos="760"/>
        </w:tabs>
        <w:ind w:left="760" w:hanging="360"/>
        <w:jc w:val="both"/>
        <w:rPr>
          <w:lang w:val="en-US"/>
        </w:rPr>
      </w:pPr>
      <w:bookmarkStart w:id="39" w:name="bookmark39"/>
      <w:bookmarkEnd w:id="39"/>
      <w:r w:rsidRPr="00CE390A">
        <w:rPr>
          <w:lang w:val="en-US"/>
        </w:rPr>
        <w:t>A certificate of tax residency used in the procedure under Act on the Rules of Taxation (Art). may also be accepted as proof of tax residency, and this procedure must be repeated annually.</w:t>
      </w:r>
    </w:p>
    <w:p w14:paraId="638AB227" w14:textId="77777777" w:rsidR="00BA51AC" w:rsidRPr="00CE390A" w:rsidRDefault="004313E0">
      <w:pPr>
        <w:pStyle w:val="Szvegtrzs1"/>
        <w:framePr w:w="9826" w:h="13267" w:hRule="exact" w:wrap="none" w:vAnchor="page" w:hAnchor="page" w:x="958" w:y="1802"/>
        <w:jc w:val="both"/>
        <w:rPr>
          <w:lang w:val="en-US"/>
        </w:rPr>
      </w:pPr>
      <w:r w:rsidRPr="00CE390A">
        <w:rPr>
          <w:lang w:val="en-US"/>
        </w:rPr>
        <w:t>In the case of a document issued in a language other than Hungarian, the Bank is entitled to request the Account Holder customer to provide a document certified by the Hungarian Office for Translation and Attestation (OFFI) or by a Hungarian professional translator or a professional translator and proofreader, the costs of which shall be borne by the Account Holder. In the case of translations by a professional translator or a translator and proofreader, a copy of the document certifying the qualifications of the professional translator or interpreter must be attached.</w:t>
      </w:r>
    </w:p>
    <w:p w14:paraId="5AE16CA4" w14:textId="77777777" w:rsidR="00BA51AC" w:rsidRPr="00CE390A" w:rsidRDefault="004313E0">
      <w:pPr>
        <w:pStyle w:val="Cmsor10"/>
        <w:framePr w:w="9826" w:h="13267" w:hRule="exact" w:wrap="none" w:vAnchor="page" w:hAnchor="page" w:x="958" w:y="1802"/>
        <w:numPr>
          <w:ilvl w:val="0"/>
          <w:numId w:val="1"/>
        </w:numPr>
        <w:tabs>
          <w:tab w:val="left" w:pos="569"/>
        </w:tabs>
        <w:rPr>
          <w:lang w:val="en-US"/>
        </w:rPr>
      </w:pPr>
      <w:bookmarkStart w:id="40" w:name="bookmark42"/>
      <w:bookmarkStart w:id="41" w:name="bookmark43"/>
      <w:bookmarkStart w:id="42" w:name="bookmark41"/>
      <w:bookmarkStart w:id="43" w:name="bookmark40"/>
      <w:bookmarkEnd w:id="40"/>
      <w:r w:rsidRPr="00CE390A">
        <w:rPr>
          <w:u w:val="single"/>
          <w:lang w:val="en-US"/>
        </w:rPr>
        <w:t>Reporting to NAV and to the U.S. Internal Revenue Service (IRS)</w:t>
      </w:r>
      <w:bookmarkEnd w:id="41"/>
      <w:bookmarkEnd w:id="42"/>
      <w:bookmarkEnd w:id="43"/>
    </w:p>
    <w:p w14:paraId="1511ADB1" w14:textId="20F367BE" w:rsidR="00BA51AC" w:rsidRPr="00CE390A" w:rsidRDefault="004313E0">
      <w:pPr>
        <w:pStyle w:val="Szvegtrzs1"/>
        <w:framePr w:w="9826" w:h="13267" w:hRule="exact" w:wrap="none" w:vAnchor="page" w:hAnchor="page" w:x="958" w:y="1802"/>
        <w:jc w:val="both"/>
        <w:rPr>
          <w:lang w:val="en-US"/>
        </w:rPr>
      </w:pPr>
      <w:r w:rsidRPr="00CE390A">
        <w:rPr>
          <w:lang w:val="en-US"/>
        </w:rPr>
        <w:t>If the Account Holder qualifies as a U.S. tax resident under the Convention, the Bank shall report to the National Tax and Customs Administration (hereinafter: NAV) annually after June</w:t>
      </w:r>
      <w:r w:rsidR="00D0356C">
        <w:rPr>
          <w:lang w:val="en-US"/>
        </w:rPr>
        <w:t xml:space="preserve"> 30,</w:t>
      </w:r>
      <w:r w:rsidRPr="00CE390A">
        <w:rPr>
          <w:lang w:val="en-US"/>
        </w:rPr>
        <w:t xml:space="preserve"> 2015, by June</w:t>
      </w:r>
      <w:r w:rsidR="00D0356C">
        <w:rPr>
          <w:lang w:val="en-US"/>
        </w:rPr>
        <w:t xml:space="preserve"> 30</w:t>
      </w:r>
      <w:r w:rsidRPr="00CE390A">
        <w:rPr>
          <w:lang w:val="en-US"/>
        </w:rPr>
        <w:t xml:space="preserve"> each year, if required by law, with the data content stipulated by the relevant legislation, as follows:</w:t>
      </w:r>
    </w:p>
    <w:p w14:paraId="6241182B" w14:textId="77777777" w:rsidR="00BA51AC" w:rsidRPr="00CE390A" w:rsidRDefault="004313E0">
      <w:pPr>
        <w:pStyle w:val="Szvegtrzs1"/>
        <w:framePr w:w="9826" w:h="13267" w:hRule="exact" w:wrap="none" w:vAnchor="page" w:hAnchor="page" w:x="958" w:y="1802"/>
        <w:numPr>
          <w:ilvl w:val="0"/>
          <w:numId w:val="3"/>
        </w:numPr>
        <w:tabs>
          <w:tab w:val="left" w:pos="234"/>
        </w:tabs>
        <w:jc w:val="both"/>
        <w:rPr>
          <w:lang w:val="en-US"/>
        </w:rPr>
      </w:pPr>
      <w:bookmarkStart w:id="44" w:name="bookmark44"/>
      <w:bookmarkEnd w:id="44"/>
      <w:r w:rsidRPr="00CE390A">
        <w:rPr>
          <w:lang w:val="en-US"/>
        </w:rPr>
        <w:t>the account holder’s name</w:t>
      </w:r>
    </w:p>
    <w:p w14:paraId="764924A6" w14:textId="77777777" w:rsidR="00BA51AC" w:rsidRPr="00CE390A" w:rsidRDefault="004313E0">
      <w:pPr>
        <w:pStyle w:val="Szvegtrzs1"/>
        <w:framePr w:w="9826" w:h="13267" w:hRule="exact" w:wrap="none" w:vAnchor="page" w:hAnchor="page" w:x="958" w:y="1802"/>
        <w:numPr>
          <w:ilvl w:val="0"/>
          <w:numId w:val="3"/>
        </w:numPr>
        <w:tabs>
          <w:tab w:val="left" w:pos="234"/>
        </w:tabs>
        <w:jc w:val="both"/>
        <w:rPr>
          <w:lang w:val="en-US"/>
        </w:rPr>
      </w:pPr>
      <w:bookmarkStart w:id="45" w:name="bookmark45"/>
      <w:bookmarkEnd w:id="45"/>
      <w:r w:rsidRPr="00CE390A">
        <w:rPr>
          <w:lang w:val="en-US"/>
        </w:rPr>
        <w:t>U.S. tax identification number</w:t>
      </w:r>
    </w:p>
    <w:p w14:paraId="6F0FFE3F" w14:textId="77777777" w:rsidR="00BA51AC" w:rsidRPr="00CE390A" w:rsidRDefault="004313E0">
      <w:pPr>
        <w:pStyle w:val="Szvegtrzs1"/>
        <w:framePr w:w="9826" w:h="13267" w:hRule="exact" w:wrap="none" w:vAnchor="page" w:hAnchor="page" w:x="958" w:y="1802"/>
        <w:numPr>
          <w:ilvl w:val="0"/>
          <w:numId w:val="3"/>
        </w:numPr>
        <w:tabs>
          <w:tab w:val="left" w:pos="234"/>
        </w:tabs>
        <w:jc w:val="both"/>
        <w:rPr>
          <w:lang w:val="en-US"/>
        </w:rPr>
      </w:pPr>
      <w:bookmarkStart w:id="46" w:name="bookmark46"/>
      <w:bookmarkEnd w:id="46"/>
      <w:r w:rsidRPr="00CE390A">
        <w:rPr>
          <w:lang w:val="en-US"/>
        </w:rPr>
        <w:t>the account holder’s date of birth</w:t>
      </w:r>
    </w:p>
    <w:p w14:paraId="135DE744" w14:textId="7AAC97D3" w:rsidR="002A6F26" w:rsidRDefault="004313E0">
      <w:pPr>
        <w:pStyle w:val="Szvegtrzs1"/>
        <w:framePr w:w="9826" w:h="13267" w:hRule="exact" w:wrap="none" w:vAnchor="page" w:hAnchor="page" w:x="958" w:y="1802"/>
        <w:numPr>
          <w:ilvl w:val="0"/>
          <w:numId w:val="3"/>
        </w:numPr>
        <w:tabs>
          <w:tab w:val="left" w:pos="234"/>
        </w:tabs>
        <w:spacing w:after="60" w:line="326" w:lineRule="auto"/>
        <w:ind w:left="180" w:hanging="180"/>
        <w:jc w:val="both"/>
        <w:rPr>
          <w:lang w:val="en-US"/>
        </w:rPr>
      </w:pPr>
      <w:bookmarkStart w:id="47" w:name="bookmark47"/>
      <w:bookmarkEnd w:id="47"/>
      <w:r w:rsidRPr="00CE390A">
        <w:rPr>
          <w:lang w:val="en-US"/>
        </w:rPr>
        <w:t>address, or, in the absence of such, the mailing address (for corporate customers, the registered office and the place of business, if different from the registered office)</w:t>
      </w:r>
    </w:p>
    <w:p w14:paraId="5399A029" w14:textId="3BFD2CCD" w:rsidR="00BA51AC" w:rsidRPr="00CE390A" w:rsidRDefault="004313E0">
      <w:pPr>
        <w:pStyle w:val="Szvegtrzs1"/>
        <w:framePr w:w="9826" w:h="13267" w:hRule="exact" w:wrap="none" w:vAnchor="page" w:hAnchor="page" w:x="958" w:y="1802"/>
        <w:numPr>
          <w:ilvl w:val="0"/>
          <w:numId w:val="3"/>
        </w:numPr>
        <w:tabs>
          <w:tab w:val="left" w:pos="234"/>
        </w:tabs>
        <w:spacing w:after="60" w:line="326" w:lineRule="auto"/>
        <w:ind w:left="180" w:hanging="180"/>
        <w:jc w:val="both"/>
        <w:rPr>
          <w:lang w:val="en-US"/>
        </w:rPr>
      </w:pPr>
      <w:r w:rsidRPr="00CE390A">
        <w:rPr>
          <w:lang w:val="en-US"/>
        </w:rPr>
        <w:t>account number</w:t>
      </w:r>
    </w:p>
    <w:p w14:paraId="47A226AD" w14:textId="77777777" w:rsidR="00BA51AC" w:rsidRPr="00CE390A" w:rsidRDefault="004313E0">
      <w:pPr>
        <w:pStyle w:val="Szvegtrzs1"/>
        <w:framePr w:w="9826" w:h="13267" w:hRule="exact" w:wrap="none" w:vAnchor="page" w:hAnchor="page" w:x="958" w:y="1802"/>
        <w:numPr>
          <w:ilvl w:val="0"/>
          <w:numId w:val="3"/>
        </w:numPr>
        <w:tabs>
          <w:tab w:val="left" w:pos="234"/>
        </w:tabs>
        <w:rPr>
          <w:lang w:val="en-US"/>
        </w:rPr>
      </w:pPr>
      <w:bookmarkStart w:id="48" w:name="bookmark48"/>
      <w:bookmarkEnd w:id="48"/>
      <w:r w:rsidRPr="00CE390A">
        <w:rPr>
          <w:lang w:val="en-US"/>
        </w:rPr>
        <w:t>currency of the account</w:t>
      </w:r>
    </w:p>
    <w:p w14:paraId="32B29643" w14:textId="77777777" w:rsidR="00BA51AC" w:rsidRPr="00CE390A" w:rsidRDefault="004313E0">
      <w:pPr>
        <w:pStyle w:val="Szvegtrzs1"/>
        <w:framePr w:w="9826" w:h="13267" w:hRule="exact" w:wrap="none" w:vAnchor="page" w:hAnchor="page" w:x="958" w:y="1802"/>
        <w:numPr>
          <w:ilvl w:val="0"/>
          <w:numId w:val="3"/>
        </w:numPr>
        <w:tabs>
          <w:tab w:val="left" w:pos="234"/>
        </w:tabs>
        <w:rPr>
          <w:lang w:val="en-US"/>
        </w:rPr>
      </w:pPr>
      <w:bookmarkStart w:id="49" w:name="bookmark49"/>
      <w:bookmarkEnd w:id="49"/>
      <w:r w:rsidRPr="00CE390A">
        <w:rPr>
          <w:lang w:val="en-US"/>
        </w:rPr>
        <w:t>account status (live, or closed during the year)</w:t>
      </w:r>
    </w:p>
    <w:p w14:paraId="083B52E6" w14:textId="77777777" w:rsidR="00BA51AC" w:rsidRPr="00CE390A" w:rsidRDefault="004313E0">
      <w:pPr>
        <w:pStyle w:val="Szvegtrzs1"/>
        <w:framePr w:w="9826" w:h="13267" w:hRule="exact" w:wrap="none" w:vAnchor="page" w:hAnchor="page" w:x="958" w:y="1802"/>
        <w:numPr>
          <w:ilvl w:val="0"/>
          <w:numId w:val="3"/>
        </w:numPr>
        <w:tabs>
          <w:tab w:val="left" w:pos="234"/>
        </w:tabs>
        <w:rPr>
          <w:lang w:val="en-US"/>
        </w:rPr>
      </w:pPr>
      <w:bookmarkStart w:id="50" w:name="bookmark50"/>
      <w:bookmarkEnd w:id="50"/>
      <w:r w:rsidRPr="00CE390A">
        <w:rPr>
          <w:lang w:val="en-US"/>
        </w:rPr>
        <w:t>account type (custodial account, depository account or other account)</w:t>
      </w:r>
    </w:p>
    <w:p w14:paraId="66E7EAC3" w14:textId="77777777" w:rsidR="00BA51AC" w:rsidRPr="00CE390A" w:rsidRDefault="004313E0">
      <w:pPr>
        <w:pStyle w:val="Szvegtrzs1"/>
        <w:framePr w:w="9826" w:h="13267" w:hRule="exact" w:wrap="none" w:vAnchor="page" w:hAnchor="page" w:x="958" w:y="1802"/>
        <w:numPr>
          <w:ilvl w:val="0"/>
          <w:numId w:val="3"/>
        </w:numPr>
        <w:tabs>
          <w:tab w:val="left" w:pos="234"/>
        </w:tabs>
        <w:spacing w:after="0"/>
        <w:rPr>
          <w:lang w:val="en-US"/>
        </w:rPr>
      </w:pPr>
      <w:bookmarkStart w:id="51" w:name="bookmark51"/>
      <w:bookmarkEnd w:id="51"/>
      <w:r w:rsidRPr="00CE390A">
        <w:rPr>
          <w:lang w:val="en-US"/>
        </w:rPr>
        <w:t>account balance</w:t>
      </w:r>
    </w:p>
    <w:p w14:paraId="6A26374B" w14:textId="77777777" w:rsidR="00BA51AC" w:rsidRPr="00CE390A" w:rsidRDefault="004313E0">
      <w:pPr>
        <w:framePr w:wrap="none" w:vAnchor="page" w:hAnchor="page" w:x="10625" w:y="15597"/>
        <w:rPr>
          <w:sz w:val="2"/>
          <w:szCs w:val="2"/>
          <w:lang w:val="en-US"/>
        </w:rPr>
      </w:pPr>
      <w:r w:rsidRPr="00CE390A">
        <w:rPr>
          <w:noProof/>
          <w:lang w:val="en-US"/>
        </w:rPr>
        <w:drawing>
          <wp:inline distT="0" distB="0" distL="0" distR="0" wp14:anchorId="0C99BE05" wp14:editId="011B7B65">
            <wp:extent cx="91440" cy="125095"/>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stretch/>
                  </pic:blipFill>
                  <pic:spPr>
                    <a:xfrm>
                      <a:off x="0" y="0"/>
                      <a:ext cx="91440" cy="125095"/>
                    </a:xfrm>
                    <a:prstGeom prst="rect">
                      <a:avLst/>
                    </a:prstGeom>
                  </pic:spPr>
                </pic:pic>
              </a:graphicData>
            </a:graphic>
          </wp:inline>
        </w:drawing>
      </w:r>
    </w:p>
    <w:p w14:paraId="57242D22" w14:textId="77777777" w:rsidR="00BA51AC" w:rsidRPr="00CE390A" w:rsidRDefault="004313E0">
      <w:pPr>
        <w:framePr w:wrap="none" w:vAnchor="page" w:hAnchor="page" w:x="972" w:y="712"/>
        <w:rPr>
          <w:sz w:val="2"/>
          <w:szCs w:val="2"/>
          <w:lang w:val="en-US"/>
        </w:rPr>
      </w:pPr>
      <w:r w:rsidRPr="00CE390A">
        <w:rPr>
          <w:noProof/>
          <w:lang w:val="en-US"/>
        </w:rPr>
        <w:drawing>
          <wp:inline distT="0" distB="0" distL="0" distR="0" wp14:anchorId="1659804D" wp14:editId="029BBCB4">
            <wp:extent cx="807720" cy="631190"/>
            <wp:effectExtent l="0" t="0" r="0" b="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stretch/>
                  </pic:blipFill>
                  <pic:spPr>
                    <a:xfrm>
                      <a:off x="0" y="0"/>
                      <a:ext cx="807720" cy="631190"/>
                    </a:xfrm>
                    <a:prstGeom prst="rect">
                      <a:avLst/>
                    </a:prstGeom>
                  </pic:spPr>
                </pic:pic>
              </a:graphicData>
            </a:graphic>
          </wp:inline>
        </w:drawing>
      </w:r>
    </w:p>
    <w:p w14:paraId="4EC1DF3A" w14:textId="77777777" w:rsidR="00BA51AC" w:rsidRPr="00CE390A" w:rsidRDefault="00BA51AC">
      <w:pPr>
        <w:spacing w:line="1" w:lineRule="exact"/>
        <w:rPr>
          <w:lang w:val="en-US"/>
        </w:rPr>
        <w:sectPr w:rsidR="00BA51AC" w:rsidRPr="00CE390A">
          <w:pgSz w:w="11900" w:h="16840"/>
          <w:pgMar w:top="360" w:right="360" w:bottom="360" w:left="360" w:header="0" w:footer="3" w:gutter="0"/>
          <w:cols w:space="720"/>
          <w:noEndnote/>
          <w:docGrid w:linePitch="360"/>
        </w:sectPr>
      </w:pPr>
    </w:p>
    <w:p w14:paraId="7E9DA0DD" w14:textId="77777777" w:rsidR="00BA51AC" w:rsidRPr="00CE390A" w:rsidRDefault="00BA51AC">
      <w:pPr>
        <w:spacing w:line="1" w:lineRule="exact"/>
        <w:rPr>
          <w:lang w:val="en-US"/>
        </w:rPr>
      </w:pPr>
    </w:p>
    <w:p w14:paraId="0031349A" w14:textId="77777777" w:rsidR="00BA51AC" w:rsidRPr="00CE390A" w:rsidRDefault="004313E0" w:rsidP="00CE390A">
      <w:pPr>
        <w:pStyle w:val="Szvegtrzs1"/>
        <w:framePr w:w="9811" w:h="6331" w:hRule="exact" w:wrap="none" w:vAnchor="page" w:hAnchor="page" w:x="965" w:y="1802"/>
        <w:numPr>
          <w:ilvl w:val="0"/>
          <w:numId w:val="3"/>
        </w:numPr>
        <w:tabs>
          <w:tab w:val="left" w:pos="212"/>
        </w:tabs>
        <w:spacing w:after="160"/>
        <w:ind w:left="180" w:hanging="180"/>
        <w:jc w:val="both"/>
        <w:rPr>
          <w:lang w:val="en-US"/>
        </w:rPr>
      </w:pPr>
      <w:bookmarkStart w:id="52" w:name="bookmark52"/>
      <w:bookmarkEnd w:id="52"/>
      <w:r w:rsidRPr="00CE390A">
        <w:rPr>
          <w:lang w:val="en-US"/>
        </w:rPr>
        <w:t>amount of interest (the total gross amount of interest paid/credited to the account; in the case of a custodian account, the gross interest content of the amount paid at the due date of payment of all interest-earning securities)</w:t>
      </w:r>
    </w:p>
    <w:p w14:paraId="7ABBA43A" w14:textId="77777777" w:rsidR="00BA51AC" w:rsidRPr="00CE390A" w:rsidRDefault="004313E0" w:rsidP="00CE390A">
      <w:pPr>
        <w:pStyle w:val="Szvegtrzs1"/>
        <w:framePr w:w="9811" w:h="6331" w:hRule="exact" w:wrap="none" w:vAnchor="page" w:hAnchor="page" w:x="965" w:y="1802"/>
        <w:numPr>
          <w:ilvl w:val="0"/>
          <w:numId w:val="3"/>
        </w:numPr>
        <w:tabs>
          <w:tab w:val="left" w:pos="212"/>
        </w:tabs>
        <w:spacing w:after="160"/>
        <w:rPr>
          <w:lang w:val="en-US"/>
        </w:rPr>
      </w:pPr>
      <w:bookmarkStart w:id="53" w:name="bookmark53"/>
      <w:bookmarkEnd w:id="53"/>
      <w:r w:rsidRPr="00CE390A">
        <w:rPr>
          <w:lang w:val="en-US"/>
        </w:rPr>
        <w:t>amount of dividends (total gross amount of the dividends paid/credited to the account)</w:t>
      </w:r>
    </w:p>
    <w:p w14:paraId="0B982C54" w14:textId="77777777" w:rsidR="00BA51AC" w:rsidRPr="00CE390A" w:rsidRDefault="004313E0" w:rsidP="00CE390A">
      <w:pPr>
        <w:pStyle w:val="Szvegtrzs1"/>
        <w:framePr w:w="9811" w:h="6331" w:hRule="exact" w:wrap="none" w:vAnchor="page" w:hAnchor="page" w:x="965" w:y="1802"/>
        <w:numPr>
          <w:ilvl w:val="0"/>
          <w:numId w:val="3"/>
        </w:numPr>
        <w:tabs>
          <w:tab w:val="left" w:pos="212"/>
        </w:tabs>
        <w:spacing w:after="160"/>
        <w:ind w:left="180" w:hanging="180"/>
        <w:jc w:val="both"/>
        <w:rPr>
          <w:lang w:val="en-US"/>
        </w:rPr>
      </w:pPr>
      <w:bookmarkStart w:id="54" w:name="bookmark54"/>
      <w:bookmarkEnd w:id="54"/>
      <w:r w:rsidRPr="00CE390A">
        <w:rPr>
          <w:lang w:val="en-US"/>
        </w:rPr>
        <w:t>other income from the account (in the case of a custodian account, it is necessary to specify the gross amount of other income generated in connection with the assets held in the account, in each case paid or credited to the account or in relation to the account.)</w:t>
      </w:r>
    </w:p>
    <w:p w14:paraId="67E9398D" w14:textId="77777777" w:rsidR="00BA51AC" w:rsidRPr="00CE390A" w:rsidRDefault="004313E0" w:rsidP="00CE390A">
      <w:pPr>
        <w:pStyle w:val="Szvegtrzs1"/>
        <w:framePr w:w="9811" w:h="6331" w:hRule="exact" w:wrap="none" w:vAnchor="page" w:hAnchor="page" w:x="965" w:y="1802"/>
        <w:numPr>
          <w:ilvl w:val="0"/>
          <w:numId w:val="3"/>
        </w:numPr>
        <w:tabs>
          <w:tab w:val="left" w:pos="212"/>
        </w:tabs>
        <w:spacing w:after="160"/>
        <w:ind w:left="180" w:hanging="180"/>
        <w:jc w:val="both"/>
        <w:rPr>
          <w:lang w:val="en-US"/>
        </w:rPr>
      </w:pPr>
      <w:bookmarkStart w:id="55" w:name="bookmark55"/>
      <w:bookmarkEnd w:id="55"/>
      <w:r w:rsidRPr="00CE390A">
        <w:rPr>
          <w:lang w:val="en-US"/>
        </w:rPr>
        <w:t>gross amount of proceeds from the sale of assets or from the settlement of debts in connection therewith (gross amount of proceeds from the sale or redemption of financial assets, including the gross proceeds from the sale of exchange-traded securities).</w:t>
      </w:r>
    </w:p>
    <w:p w14:paraId="7951C869" w14:textId="77777777" w:rsidR="00BA51AC" w:rsidRPr="00CE390A" w:rsidRDefault="004313E0" w:rsidP="00CE390A">
      <w:pPr>
        <w:pStyle w:val="Szvegtrzs1"/>
        <w:framePr w:w="9811" w:h="6331" w:hRule="exact" w:wrap="none" w:vAnchor="page" w:hAnchor="page" w:x="965" w:y="1802"/>
        <w:spacing w:after="620"/>
        <w:jc w:val="both"/>
        <w:rPr>
          <w:lang w:val="en-US"/>
        </w:rPr>
      </w:pPr>
      <w:r w:rsidRPr="00CE390A">
        <w:rPr>
          <w:lang w:val="en-US"/>
        </w:rPr>
        <w:t>The Bank shall inform the account holder of the fact of the data reporting in writing, in a letter addressed to the account holder, within 30 days of the date on which the information was provided to NAV.</w:t>
      </w:r>
    </w:p>
    <w:p w14:paraId="51825D74" w14:textId="77777777" w:rsidR="00BA51AC" w:rsidRDefault="004313E0" w:rsidP="00CE390A">
      <w:pPr>
        <w:pStyle w:val="Szvegtrzs1"/>
        <w:framePr w:w="9811" w:h="6331" w:hRule="exact" w:wrap="none" w:vAnchor="page" w:hAnchor="page" w:x="965" w:y="1802"/>
        <w:spacing w:after="0" w:line="254" w:lineRule="auto"/>
        <w:jc w:val="both"/>
        <w:rPr>
          <w:b/>
          <w:bCs/>
          <w:u w:val="single"/>
          <w:lang w:val="en-US"/>
        </w:rPr>
      </w:pPr>
      <w:r w:rsidRPr="00CE390A">
        <w:rPr>
          <w:b/>
          <w:bCs/>
          <w:lang w:val="en-US"/>
        </w:rPr>
        <w:t xml:space="preserve">For further information on FATCA, the Intergovernmental Agreement and the completion of the individual tax documents, please contact our employees, and visit our Bank’s website at </w:t>
      </w:r>
      <w:hyperlink r:id="rId14" w:history="1">
        <w:r w:rsidRPr="00CE390A">
          <w:rPr>
            <w:b/>
            <w:bCs/>
            <w:lang w:val="en-US"/>
          </w:rPr>
          <w:t>http://www.magnetbank.hu</w:t>
        </w:r>
      </w:hyperlink>
      <w:r w:rsidRPr="00CE390A">
        <w:rPr>
          <w:b/>
          <w:bCs/>
          <w:lang w:val="en-US"/>
        </w:rPr>
        <w:t xml:space="preserve">, and will also find detailed information on the subject in English on the IRS website: </w:t>
      </w:r>
      <w:hyperlink r:id="rId15" w:history="1">
        <w:r w:rsidRPr="00CE390A">
          <w:rPr>
            <w:b/>
            <w:bCs/>
            <w:u w:val="single"/>
            <w:lang w:val="en-US"/>
          </w:rPr>
          <w:t>(</w:t>
        </w:r>
        <w:r w:rsidRPr="00CE390A">
          <w:rPr>
            <w:b/>
            <w:bCs/>
            <w:color w:val="0563C1"/>
            <w:u w:val="single"/>
            <w:lang w:val="en-US"/>
          </w:rPr>
          <w:t>https://www.irs.gov/businesses/corporations/foreign-account-tax-compliance-act-fatca</w:t>
        </w:r>
        <w:r w:rsidRPr="00CE390A">
          <w:rPr>
            <w:b/>
            <w:bCs/>
            <w:u w:val="single"/>
            <w:lang w:val="en-US"/>
          </w:rPr>
          <w:t>)</w:t>
        </w:r>
      </w:hyperlink>
    </w:p>
    <w:p w14:paraId="2515C6BA" w14:textId="77777777" w:rsidR="007256AA" w:rsidRDefault="007256AA" w:rsidP="00CE390A">
      <w:pPr>
        <w:pStyle w:val="Szvegtrzs1"/>
        <w:framePr w:w="9811" w:h="6331" w:hRule="exact" w:wrap="none" w:vAnchor="page" w:hAnchor="page" w:x="965" w:y="1802"/>
        <w:spacing w:after="0" w:line="254" w:lineRule="auto"/>
        <w:jc w:val="both"/>
        <w:rPr>
          <w:b/>
          <w:bCs/>
          <w:u w:val="single"/>
          <w:lang w:val="en-US"/>
        </w:rPr>
      </w:pPr>
    </w:p>
    <w:p w14:paraId="36DCFDBF" w14:textId="2DB6791D" w:rsidR="007256AA" w:rsidRPr="00CE390A" w:rsidRDefault="007256AA" w:rsidP="00CE390A">
      <w:pPr>
        <w:pStyle w:val="Szvegtrzs1"/>
        <w:framePr w:w="9811" w:h="6331" w:hRule="exact" w:wrap="none" w:vAnchor="page" w:hAnchor="page" w:x="965" w:y="1802"/>
        <w:spacing w:after="0" w:line="254" w:lineRule="auto"/>
        <w:jc w:val="both"/>
        <w:rPr>
          <w:lang w:val="en-US"/>
        </w:rPr>
      </w:pPr>
    </w:p>
    <w:p w14:paraId="114807FB" w14:textId="77777777" w:rsidR="00BA51AC" w:rsidRPr="00CE390A" w:rsidRDefault="004313E0">
      <w:pPr>
        <w:framePr w:wrap="none" w:vAnchor="page" w:hAnchor="page" w:x="10618" w:y="15597"/>
        <w:rPr>
          <w:sz w:val="2"/>
          <w:szCs w:val="2"/>
          <w:lang w:val="en-US"/>
        </w:rPr>
      </w:pPr>
      <w:r w:rsidRPr="00CE390A">
        <w:rPr>
          <w:noProof/>
          <w:lang w:val="en-US"/>
        </w:rPr>
        <w:drawing>
          <wp:inline distT="0" distB="0" distL="0" distR="0" wp14:anchorId="2BA3033F" wp14:editId="27C04C6A">
            <wp:extent cx="100330" cy="125095"/>
            <wp:effectExtent l="0" t="0" r="0" b="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a:stretch/>
                  </pic:blipFill>
                  <pic:spPr>
                    <a:xfrm>
                      <a:off x="0" y="0"/>
                      <a:ext cx="100330" cy="125095"/>
                    </a:xfrm>
                    <a:prstGeom prst="rect">
                      <a:avLst/>
                    </a:prstGeom>
                  </pic:spPr>
                </pic:pic>
              </a:graphicData>
            </a:graphic>
          </wp:inline>
        </w:drawing>
      </w:r>
    </w:p>
    <w:p w14:paraId="1366DDAF" w14:textId="77777777" w:rsidR="00BA51AC" w:rsidRPr="00CE390A" w:rsidRDefault="004313E0">
      <w:pPr>
        <w:framePr w:wrap="none" w:vAnchor="page" w:hAnchor="page" w:x="946" w:y="712"/>
        <w:rPr>
          <w:sz w:val="2"/>
          <w:szCs w:val="2"/>
          <w:lang w:val="en-US"/>
        </w:rPr>
      </w:pPr>
      <w:r w:rsidRPr="00CE390A">
        <w:rPr>
          <w:noProof/>
          <w:lang w:val="en-US"/>
        </w:rPr>
        <w:drawing>
          <wp:inline distT="0" distB="0" distL="0" distR="0" wp14:anchorId="17403A0B" wp14:editId="15FF6452">
            <wp:extent cx="829310" cy="62484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stretch/>
                  </pic:blipFill>
                  <pic:spPr>
                    <a:xfrm>
                      <a:off x="0" y="0"/>
                      <a:ext cx="829310" cy="624840"/>
                    </a:xfrm>
                    <a:prstGeom prst="rect">
                      <a:avLst/>
                    </a:prstGeom>
                  </pic:spPr>
                </pic:pic>
              </a:graphicData>
            </a:graphic>
          </wp:inline>
        </w:drawing>
      </w:r>
    </w:p>
    <w:p w14:paraId="534E64D1" w14:textId="77777777" w:rsidR="00BA51AC" w:rsidRDefault="00BA51AC">
      <w:pPr>
        <w:spacing w:line="1" w:lineRule="exact"/>
        <w:rPr>
          <w:lang w:val="en-US"/>
        </w:rPr>
      </w:pPr>
    </w:p>
    <w:p w14:paraId="64316208" w14:textId="77777777" w:rsidR="007256AA" w:rsidRPr="007256AA" w:rsidRDefault="007256AA" w:rsidP="00711256">
      <w:pPr>
        <w:rPr>
          <w:lang w:val="en-US"/>
        </w:rPr>
      </w:pPr>
    </w:p>
    <w:p w14:paraId="482805A3" w14:textId="77777777" w:rsidR="007256AA" w:rsidRPr="007256AA" w:rsidRDefault="007256AA" w:rsidP="00711256">
      <w:pPr>
        <w:rPr>
          <w:lang w:val="en-US"/>
        </w:rPr>
      </w:pPr>
    </w:p>
    <w:p w14:paraId="6FEFCF5B" w14:textId="77777777" w:rsidR="007256AA" w:rsidRPr="007256AA" w:rsidRDefault="007256AA" w:rsidP="00711256">
      <w:pPr>
        <w:rPr>
          <w:lang w:val="en-US"/>
        </w:rPr>
      </w:pPr>
    </w:p>
    <w:p w14:paraId="475AA25D" w14:textId="77777777" w:rsidR="007256AA" w:rsidRPr="007256AA" w:rsidRDefault="007256AA" w:rsidP="00711256">
      <w:pPr>
        <w:rPr>
          <w:lang w:val="en-US"/>
        </w:rPr>
      </w:pPr>
    </w:p>
    <w:p w14:paraId="3BBB1FD3" w14:textId="77777777" w:rsidR="007256AA" w:rsidRPr="007256AA" w:rsidRDefault="007256AA" w:rsidP="00711256">
      <w:pPr>
        <w:rPr>
          <w:lang w:val="en-US"/>
        </w:rPr>
      </w:pPr>
    </w:p>
    <w:p w14:paraId="3E228243" w14:textId="77777777" w:rsidR="007256AA" w:rsidRPr="007256AA" w:rsidRDefault="007256AA" w:rsidP="00711256">
      <w:pPr>
        <w:rPr>
          <w:lang w:val="en-US"/>
        </w:rPr>
      </w:pPr>
    </w:p>
    <w:p w14:paraId="15F0432F" w14:textId="77777777" w:rsidR="007256AA" w:rsidRPr="007256AA" w:rsidRDefault="007256AA" w:rsidP="00711256">
      <w:pPr>
        <w:rPr>
          <w:lang w:val="en-US"/>
        </w:rPr>
      </w:pPr>
    </w:p>
    <w:p w14:paraId="78D9C5AA" w14:textId="77777777" w:rsidR="007256AA" w:rsidRPr="007256AA" w:rsidRDefault="007256AA" w:rsidP="00711256">
      <w:pPr>
        <w:rPr>
          <w:lang w:val="en-US"/>
        </w:rPr>
      </w:pPr>
    </w:p>
    <w:p w14:paraId="538B45BB" w14:textId="77777777" w:rsidR="007256AA" w:rsidRPr="007256AA" w:rsidRDefault="007256AA" w:rsidP="00711256">
      <w:pPr>
        <w:rPr>
          <w:lang w:val="en-US"/>
        </w:rPr>
      </w:pPr>
    </w:p>
    <w:p w14:paraId="73869E23" w14:textId="77777777" w:rsidR="007256AA" w:rsidRPr="007256AA" w:rsidRDefault="007256AA" w:rsidP="00711256">
      <w:pPr>
        <w:rPr>
          <w:lang w:val="en-US"/>
        </w:rPr>
      </w:pPr>
    </w:p>
    <w:p w14:paraId="1CDB99E3" w14:textId="77777777" w:rsidR="007256AA" w:rsidRPr="007256AA" w:rsidRDefault="007256AA" w:rsidP="00711256">
      <w:pPr>
        <w:rPr>
          <w:lang w:val="en-US"/>
        </w:rPr>
      </w:pPr>
    </w:p>
    <w:p w14:paraId="59602EF9" w14:textId="77777777" w:rsidR="007256AA" w:rsidRPr="007256AA" w:rsidRDefault="007256AA" w:rsidP="00711256">
      <w:pPr>
        <w:rPr>
          <w:lang w:val="en-US"/>
        </w:rPr>
      </w:pPr>
    </w:p>
    <w:p w14:paraId="6F9FEE6D" w14:textId="77777777" w:rsidR="007256AA" w:rsidRPr="007256AA" w:rsidRDefault="007256AA" w:rsidP="00711256">
      <w:pPr>
        <w:rPr>
          <w:lang w:val="en-US"/>
        </w:rPr>
      </w:pPr>
    </w:p>
    <w:p w14:paraId="14AB97FC" w14:textId="77777777" w:rsidR="007256AA" w:rsidRPr="007256AA" w:rsidRDefault="007256AA" w:rsidP="00711256">
      <w:pPr>
        <w:rPr>
          <w:lang w:val="en-US"/>
        </w:rPr>
      </w:pPr>
    </w:p>
    <w:p w14:paraId="0D021931" w14:textId="77777777" w:rsidR="007256AA" w:rsidRPr="007256AA" w:rsidRDefault="007256AA" w:rsidP="00711256">
      <w:pPr>
        <w:rPr>
          <w:lang w:val="en-US"/>
        </w:rPr>
      </w:pPr>
    </w:p>
    <w:p w14:paraId="53E8834D" w14:textId="77777777" w:rsidR="007256AA" w:rsidRPr="007256AA" w:rsidRDefault="007256AA" w:rsidP="00711256">
      <w:pPr>
        <w:rPr>
          <w:lang w:val="en-US"/>
        </w:rPr>
      </w:pPr>
    </w:p>
    <w:p w14:paraId="5BC5CF4A" w14:textId="77777777" w:rsidR="007256AA" w:rsidRPr="007256AA" w:rsidRDefault="007256AA" w:rsidP="00711256">
      <w:pPr>
        <w:rPr>
          <w:lang w:val="en-US"/>
        </w:rPr>
      </w:pPr>
    </w:p>
    <w:p w14:paraId="0C3B03C0" w14:textId="77777777" w:rsidR="007256AA" w:rsidRPr="007256AA" w:rsidRDefault="007256AA" w:rsidP="00711256">
      <w:pPr>
        <w:rPr>
          <w:lang w:val="en-US"/>
        </w:rPr>
      </w:pPr>
    </w:p>
    <w:p w14:paraId="096C7576" w14:textId="77777777" w:rsidR="007256AA" w:rsidRPr="007256AA" w:rsidRDefault="007256AA" w:rsidP="00711256">
      <w:pPr>
        <w:rPr>
          <w:lang w:val="en-US"/>
        </w:rPr>
      </w:pPr>
    </w:p>
    <w:p w14:paraId="3C9FC87A" w14:textId="77777777" w:rsidR="007256AA" w:rsidRPr="007256AA" w:rsidRDefault="007256AA" w:rsidP="00711256">
      <w:pPr>
        <w:rPr>
          <w:lang w:val="en-US"/>
        </w:rPr>
      </w:pPr>
    </w:p>
    <w:p w14:paraId="7199E4D2" w14:textId="77777777" w:rsidR="007256AA" w:rsidRPr="00711256" w:rsidRDefault="007256AA" w:rsidP="00711256">
      <w:pPr>
        <w:pStyle w:val="NormlWeb"/>
        <w:numPr>
          <w:ilvl w:val="0"/>
          <w:numId w:val="1"/>
        </w:numPr>
        <w:jc w:val="both"/>
        <w:rPr>
          <w:rFonts w:ascii="Calibri" w:eastAsia="Calibri" w:hAnsi="Calibri" w:cs="Calibri"/>
          <w:b/>
          <w:bCs/>
          <w:color w:val="000000"/>
          <w:sz w:val="22"/>
          <w:szCs w:val="22"/>
          <w:lang w:val="en-US" w:bidi="hu-HU"/>
        </w:rPr>
      </w:pPr>
      <w:r w:rsidRPr="00711256">
        <w:rPr>
          <w:rFonts w:ascii="Calibri" w:eastAsia="Calibri" w:hAnsi="Calibri" w:cs="Calibri"/>
          <w:color w:val="000000"/>
          <w:sz w:val="22"/>
          <w:szCs w:val="22"/>
          <w:lang w:val="en-US" w:bidi="hu-HU"/>
        </w:rPr>
        <w:t>Information on the Processing of Personal Data</w:t>
      </w:r>
    </w:p>
    <w:p w14:paraId="5243C2E3" w14:textId="77777777" w:rsidR="007256AA" w:rsidRDefault="007256AA" w:rsidP="007256AA">
      <w:pPr>
        <w:pStyle w:val="NormlWeb"/>
        <w:jc w:val="both"/>
        <w:rPr>
          <w:rFonts w:ascii="Calibri" w:eastAsia="Calibri" w:hAnsi="Calibri" w:cs="Calibri"/>
          <w:color w:val="000000"/>
          <w:sz w:val="22"/>
          <w:szCs w:val="22"/>
          <w:lang w:val="en-US" w:bidi="hu-HU"/>
        </w:rPr>
      </w:pPr>
      <w:r w:rsidRPr="00711256">
        <w:rPr>
          <w:rFonts w:ascii="Calibri" w:eastAsia="Calibri" w:hAnsi="Calibri" w:cs="Calibri"/>
          <w:color w:val="000000"/>
          <w:sz w:val="22"/>
          <w:szCs w:val="22"/>
          <w:lang w:val="en-US" w:bidi="hu-HU"/>
        </w:rPr>
        <w:t xml:space="preserve">The processing of personal data is carried out for the purpose of performing the tax due diligence and reporting obligations prescribed by the FATCA legislation, in order to determine the customer’s FATCA status and to fulfil the mandatory data reporting to the National Tax and Customs Administration (NAV). </w:t>
      </w:r>
    </w:p>
    <w:p w14:paraId="37EC4599" w14:textId="516607BD" w:rsidR="007256AA" w:rsidRPr="00711256" w:rsidRDefault="007256AA" w:rsidP="00711256">
      <w:pPr>
        <w:pStyle w:val="NormlWeb"/>
        <w:jc w:val="both"/>
        <w:rPr>
          <w:rFonts w:ascii="Calibri" w:eastAsia="Calibri" w:hAnsi="Calibri" w:cs="Calibri"/>
          <w:color w:val="000000"/>
          <w:sz w:val="22"/>
          <w:szCs w:val="22"/>
          <w:lang w:val="en-US" w:bidi="hu-HU"/>
        </w:rPr>
      </w:pPr>
      <w:r w:rsidRPr="00711256">
        <w:rPr>
          <w:rFonts w:ascii="Calibri" w:eastAsia="Calibri" w:hAnsi="Calibri" w:cs="Calibri"/>
          <w:color w:val="000000"/>
          <w:sz w:val="22"/>
          <w:szCs w:val="22"/>
          <w:lang w:val="en-US" w:bidi="hu-HU"/>
        </w:rPr>
        <w:t>The legal basis of the processing is the fulfilment of a legal obligation pursuant to Article 6(1)(c) of Regulation (EU) 2016/679 of the European Parliament and of the Council (GDPR). The Bank submits FATCA</w:t>
      </w:r>
      <w:r w:rsidRPr="00711256">
        <w:rPr>
          <w:rFonts w:ascii="Calibri" w:eastAsia="Calibri" w:hAnsi="Calibri" w:cs="Calibri"/>
          <w:color w:val="000000"/>
          <w:sz w:val="22"/>
          <w:szCs w:val="22"/>
          <w:lang w:val="en-US" w:bidi="hu-HU"/>
        </w:rPr>
        <w:noBreakHyphen/>
        <w:t>related reports to the National Tax and Customs Administration, which, within the framework of automatic exchange of information, forwards the data to the Internal Revenue Service (IRS) of the United States. Personal data are retained for 8 years following the termination of the business relationship. Detailed information on data processing, as well as the rights of data subjects and the means of exercising such rights, is available in the Bank’s privacy notice published on its website.</w:t>
      </w:r>
    </w:p>
    <w:p w14:paraId="261BB8C8" w14:textId="6CC5020A" w:rsidR="007256AA" w:rsidRPr="007256AA" w:rsidRDefault="007256AA" w:rsidP="00711256">
      <w:pPr>
        <w:pStyle w:val="Listaszerbekezds"/>
        <w:tabs>
          <w:tab w:val="left" w:pos="1523"/>
        </w:tabs>
        <w:rPr>
          <w:lang w:val="en-US"/>
        </w:rPr>
      </w:pPr>
    </w:p>
    <w:p w14:paraId="64230360" w14:textId="108C8F26" w:rsidR="007256AA" w:rsidRPr="007256AA" w:rsidRDefault="007256AA" w:rsidP="00711256">
      <w:pPr>
        <w:tabs>
          <w:tab w:val="left" w:pos="1523"/>
        </w:tabs>
        <w:rPr>
          <w:lang w:val="en-US"/>
        </w:rPr>
        <w:sectPr w:rsidR="007256AA" w:rsidRPr="007256AA">
          <w:pgSz w:w="11900" w:h="16840"/>
          <w:pgMar w:top="360" w:right="360" w:bottom="360" w:left="360" w:header="0" w:footer="3" w:gutter="0"/>
          <w:cols w:space="720"/>
          <w:noEndnote/>
          <w:docGrid w:linePitch="360"/>
        </w:sectPr>
      </w:pPr>
      <w:r>
        <w:rPr>
          <w:lang w:val="en-US"/>
        </w:rPr>
        <w:tab/>
      </w:r>
    </w:p>
    <w:p w14:paraId="2E4559A2" w14:textId="77777777" w:rsidR="00BA51AC" w:rsidRPr="00CE390A" w:rsidRDefault="00BA51AC">
      <w:pPr>
        <w:spacing w:line="1" w:lineRule="exact"/>
        <w:rPr>
          <w:lang w:val="en-US"/>
        </w:rPr>
      </w:pPr>
    </w:p>
    <w:p w14:paraId="358C7AF0" w14:textId="05CE1CCB" w:rsidR="00BA51AC" w:rsidRPr="00CE390A" w:rsidRDefault="004313E0" w:rsidP="004313E0">
      <w:pPr>
        <w:pStyle w:val="Szvegtrzs1"/>
        <w:framePr w:w="10104" w:h="13393" w:hRule="exact" w:wrap="none" w:vAnchor="page" w:hAnchor="page" w:x="819" w:y="2066"/>
        <w:tabs>
          <w:tab w:val="left" w:pos="568"/>
        </w:tabs>
        <w:spacing w:after="320"/>
        <w:jc w:val="center"/>
        <w:rPr>
          <w:lang w:val="en-US"/>
        </w:rPr>
      </w:pPr>
      <w:bookmarkStart w:id="56" w:name="bookmark56"/>
      <w:bookmarkEnd w:id="56"/>
      <w:r w:rsidRPr="00CE390A">
        <w:rPr>
          <w:b/>
          <w:bCs/>
          <w:lang w:val="en-US"/>
        </w:rPr>
        <w:t>Annex 1 Definition of terms</w:t>
      </w:r>
    </w:p>
    <w:p w14:paraId="69550FEB" w14:textId="77777777" w:rsidR="00BA51AC" w:rsidRPr="00CE390A" w:rsidRDefault="004313E0" w:rsidP="004313E0">
      <w:pPr>
        <w:pStyle w:val="Cmsor10"/>
        <w:framePr w:w="10104" w:h="13393" w:hRule="exact" w:wrap="none" w:vAnchor="page" w:hAnchor="page" w:x="819" w:y="2066"/>
        <w:numPr>
          <w:ilvl w:val="0"/>
          <w:numId w:val="5"/>
        </w:numPr>
        <w:tabs>
          <w:tab w:val="left" w:pos="912"/>
        </w:tabs>
        <w:spacing w:after="320"/>
        <w:jc w:val="both"/>
        <w:rPr>
          <w:lang w:val="en-US"/>
        </w:rPr>
      </w:pPr>
      <w:bookmarkStart w:id="57" w:name="bookmark59"/>
      <w:bookmarkStart w:id="58" w:name="bookmark60"/>
      <w:bookmarkStart w:id="59" w:name="bookmark58"/>
      <w:bookmarkStart w:id="60" w:name="bookmark57"/>
      <w:bookmarkEnd w:id="57"/>
      <w:r w:rsidRPr="00CE390A">
        <w:rPr>
          <w:lang w:val="en-US"/>
        </w:rPr>
        <w:t>Active Non-Financial Foreign Entity</w:t>
      </w:r>
      <w:bookmarkEnd w:id="58"/>
      <w:bookmarkEnd w:id="59"/>
      <w:bookmarkEnd w:id="60"/>
    </w:p>
    <w:p w14:paraId="7F509630" w14:textId="77777777" w:rsidR="00BA51AC" w:rsidRPr="00CE390A" w:rsidRDefault="004313E0" w:rsidP="004313E0">
      <w:pPr>
        <w:pStyle w:val="Szvegtrzs1"/>
        <w:framePr w:w="10104" w:h="13393" w:hRule="exact" w:wrap="none" w:vAnchor="page" w:hAnchor="page" w:x="819" w:y="2066"/>
        <w:spacing w:after="160"/>
        <w:ind w:left="440" w:hanging="140"/>
        <w:jc w:val="both"/>
        <w:rPr>
          <w:lang w:val="en-US"/>
        </w:rPr>
      </w:pPr>
      <w:r w:rsidRPr="00CE390A">
        <w:rPr>
          <w:lang w:val="en-US"/>
        </w:rPr>
        <w:t>“Active Non-Financial Foreign Entity” (Active NFFE) means any Non-Financial Foreign Entity that meets any of the following criteria:</w:t>
      </w:r>
    </w:p>
    <w:p w14:paraId="519EBE40" w14:textId="77777777"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1" w:name="bookmark61"/>
      <w:bookmarkEnd w:id="61"/>
      <w:r w:rsidRPr="00CE390A">
        <w:rPr>
          <w:lang w:val="en-US"/>
        </w:rPr>
        <w:t>In the preceding calendar year or other relevant reporting period, less than 50 percent of the Non-Financial Foreign Entity’s gross income is passive income, and in the preceding calendar year or other relevant reporting period, less than 50 percent of the assets held by the Non-Financial Foreign Entity consist of assets that generate passive income or are held to generate passive income;</w:t>
      </w:r>
    </w:p>
    <w:p w14:paraId="51F57F2E" w14:textId="77777777"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2" w:name="bookmark62"/>
      <w:bookmarkEnd w:id="62"/>
      <w:r w:rsidRPr="00CE390A">
        <w:rPr>
          <w:lang w:val="en-US"/>
        </w:rPr>
        <w:t>The shares of the Non-Financial Foreign Entity are regularly traded on an established securities market or the Non-Financial Foreign Entity is a Related Entity of an Entity whose shares are regularly traded on an established securities market;</w:t>
      </w:r>
    </w:p>
    <w:p w14:paraId="521CF10F" w14:textId="77777777"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3" w:name="bookmark63"/>
      <w:bookmarkEnd w:id="63"/>
      <w:r w:rsidRPr="00CE390A">
        <w:rPr>
          <w:lang w:val="en-US"/>
        </w:rPr>
        <w:t>The Non-Financial Foreign Entity is incorporated in a Dependent Territory of the United States, and all of its owners are actual residents of that Dependent Territory of the United States;</w:t>
      </w:r>
    </w:p>
    <w:p w14:paraId="3B58B520" w14:textId="691DA3E8"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4" w:name="bookmark64"/>
      <w:bookmarkEnd w:id="64"/>
      <w:r w:rsidRPr="00CE390A">
        <w:rPr>
          <w:lang w:val="en-US"/>
        </w:rPr>
        <w:t xml:space="preserve">The Non-Financial Foreign Entity is a government (other than the Government of the United States), a political subdivision of such government (which, for the avoidance of doubt, may be a state, province, county or municipality) or a public body performing the functions of such government or a political subdivision thereof, a government of a Dependent Territory of the United States, an international </w:t>
      </w:r>
      <w:r w:rsidR="00FA54B7">
        <w:rPr>
          <w:lang w:val="en-US"/>
        </w:rPr>
        <w:t>organization</w:t>
      </w:r>
      <w:r w:rsidRPr="00CE390A">
        <w:rPr>
          <w:lang w:val="en-US"/>
        </w:rPr>
        <w:t>, a non-US central bank, or an Entity wholly owned by one or more of the foregoing;</w:t>
      </w:r>
    </w:p>
    <w:p w14:paraId="55295CF2" w14:textId="77777777"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5" w:name="bookmark65"/>
      <w:bookmarkEnd w:id="65"/>
      <w:r w:rsidRPr="00CE390A">
        <w:rPr>
          <w:lang w:val="en-US"/>
        </w:rPr>
        <w:t>Substantially all of the activities of a Non-Financial Foreign Entity may be related to the holding (in whole or in part) of the existing capital of, or the provision of financing and services to, one or more subsidiaries that engage in a trade or a business activity other than the business of a financial institution, with the exception that the Entity may not obtain the Non-Financial Foreign Entity status in the event that the Entity functions as (or considers itself to be) an investment fund such as a private equity fund, venture capital fund, leveraged buy-out fund or any investment vehicle whose purpose is to acquire or finance companies and thereby obtain ownership in those companies in the form of an equity interest for investment purposes;</w:t>
      </w:r>
    </w:p>
    <w:p w14:paraId="2EDFA554" w14:textId="77777777"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6" w:name="bookmark66"/>
      <w:bookmarkEnd w:id="66"/>
      <w:r w:rsidRPr="00CE390A">
        <w:rPr>
          <w:lang w:val="en-US"/>
        </w:rPr>
        <w:t>The Non-Financial Foreign Entity is not yet engaged in any business activity and has no prior operating history, but invests capital in assets with the intention of engaging in an activity other than that of a Financial Institution, with the proviso that the Non-Financial Foreign Entity shall not be entitled to this exception</w:t>
      </w:r>
    </w:p>
    <w:p w14:paraId="54D65331" w14:textId="2454C7D2" w:rsidR="00BA51AC" w:rsidRPr="00CE390A" w:rsidRDefault="00CE390A" w:rsidP="004313E0">
      <w:pPr>
        <w:pStyle w:val="Szvegtrzs1"/>
        <w:framePr w:w="10104" w:h="13393" w:hRule="exact" w:wrap="none" w:vAnchor="page" w:hAnchor="page" w:x="819" w:y="2066"/>
        <w:spacing w:after="0"/>
        <w:ind w:firstLine="300"/>
        <w:jc w:val="both"/>
        <w:rPr>
          <w:lang w:val="en-US"/>
        </w:rPr>
      </w:pPr>
      <w:r w:rsidRPr="00CE390A">
        <w:rPr>
          <w:lang w:val="en-US"/>
        </w:rPr>
        <w:t>24 months after</w:t>
      </w:r>
      <w:r w:rsidR="004313E0" w:rsidRPr="00CE390A">
        <w:rPr>
          <w:lang w:val="en-US"/>
        </w:rPr>
        <w:t xml:space="preserve"> the date of the Entity’s initial establishment;</w:t>
      </w:r>
    </w:p>
    <w:p w14:paraId="3D426A2C" w14:textId="15E6DED9"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7" w:name="bookmark67"/>
      <w:bookmarkEnd w:id="67"/>
      <w:r w:rsidRPr="00CE390A">
        <w:rPr>
          <w:lang w:val="en-US"/>
        </w:rPr>
        <w:t>The Non-Financial Foreign Entity has not been a financial institution for the past five years, and is in the process of liquidating its assets or is reorgani</w:t>
      </w:r>
      <w:r w:rsidR="00FA54B7">
        <w:rPr>
          <w:lang w:val="en-US"/>
        </w:rPr>
        <w:t>z</w:t>
      </w:r>
      <w:r w:rsidRPr="00CE390A">
        <w:rPr>
          <w:lang w:val="en-US"/>
        </w:rPr>
        <w:t>ing with the intent to continue or restart an activity other than that of a Financial Institution;</w:t>
      </w:r>
    </w:p>
    <w:p w14:paraId="37EFFEFD" w14:textId="77777777"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8" w:name="bookmark68"/>
      <w:bookmarkEnd w:id="68"/>
      <w:r w:rsidRPr="00CE390A">
        <w:rPr>
          <w:lang w:val="en-US"/>
        </w:rPr>
        <w:t>The Non-Financial Foreign Entity primarily engages in financing and hedging transactions with, or for, Related Entities that are not Financial Institutions, and does not provide financing or hedging services to any Entity that is not a Related Entity, provided that the group of any such Related Entities is primarily engaged in a business activity other than that of a Financial Institution;</w:t>
      </w:r>
    </w:p>
    <w:p w14:paraId="0D16040F" w14:textId="77777777" w:rsidR="00BA51AC" w:rsidRPr="00CE390A" w:rsidRDefault="004313E0" w:rsidP="004313E0">
      <w:pPr>
        <w:pStyle w:val="Szvegtrzs1"/>
        <w:framePr w:w="10104" w:h="13393" w:hRule="exact" w:wrap="none" w:vAnchor="page" w:hAnchor="page" w:x="819" w:y="2066"/>
        <w:numPr>
          <w:ilvl w:val="0"/>
          <w:numId w:val="6"/>
        </w:numPr>
        <w:tabs>
          <w:tab w:val="left" w:pos="503"/>
        </w:tabs>
        <w:spacing w:after="0"/>
        <w:ind w:left="380" w:hanging="180"/>
        <w:jc w:val="both"/>
        <w:rPr>
          <w:lang w:val="en-US"/>
        </w:rPr>
      </w:pPr>
      <w:bookmarkStart w:id="69" w:name="bookmark69"/>
      <w:bookmarkEnd w:id="69"/>
      <w:r w:rsidRPr="00CE390A">
        <w:rPr>
          <w:lang w:val="en-US"/>
        </w:rPr>
        <w:t>The Non-Financial Foreign Entity is an “excepted Non-Financial Foreign Entity” as defined in the relevant U.S. Treasury Regulations; or</w:t>
      </w:r>
    </w:p>
    <w:p w14:paraId="20A66641" w14:textId="77777777" w:rsidR="00BA51AC" w:rsidRPr="00CE390A" w:rsidRDefault="004313E0" w:rsidP="004313E0">
      <w:pPr>
        <w:pStyle w:val="Szvegtrzs1"/>
        <w:framePr w:w="10104" w:h="13393" w:hRule="exact" w:wrap="none" w:vAnchor="page" w:hAnchor="page" w:x="819" w:y="2066"/>
        <w:numPr>
          <w:ilvl w:val="0"/>
          <w:numId w:val="6"/>
        </w:numPr>
        <w:tabs>
          <w:tab w:val="left" w:pos="470"/>
        </w:tabs>
        <w:spacing w:after="0"/>
        <w:ind w:left="380" w:hanging="180"/>
        <w:jc w:val="both"/>
        <w:rPr>
          <w:lang w:val="en-US"/>
        </w:rPr>
      </w:pPr>
      <w:bookmarkStart w:id="70" w:name="bookmark70"/>
      <w:bookmarkEnd w:id="70"/>
      <w:r w:rsidRPr="00CE390A">
        <w:rPr>
          <w:lang w:val="en-US"/>
        </w:rPr>
        <w:t>The Non-Financial Foreign Entity meets all of the following requirements:</w:t>
      </w:r>
    </w:p>
    <w:p w14:paraId="2AAD84EF" w14:textId="5696E443" w:rsidR="00BA51AC" w:rsidRPr="00CE390A" w:rsidRDefault="003C3BC5" w:rsidP="004313E0">
      <w:pPr>
        <w:pStyle w:val="Szvegtrzs1"/>
        <w:framePr w:w="10104" w:h="13393" w:hRule="exact" w:wrap="none" w:vAnchor="page" w:hAnchor="page" w:x="819" w:y="2066"/>
        <w:numPr>
          <w:ilvl w:val="0"/>
          <w:numId w:val="7"/>
        </w:numPr>
        <w:tabs>
          <w:tab w:val="left" w:pos="568"/>
        </w:tabs>
        <w:spacing w:after="0"/>
        <w:ind w:left="580" w:hanging="280"/>
        <w:jc w:val="both"/>
        <w:rPr>
          <w:lang w:val="en-US"/>
        </w:rPr>
      </w:pPr>
      <w:bookmarkStart w:id="71" w:name="bookmark71"/>
      <w:bookmarkEnd w:id="71"/>
      <w:r w:rsidRPr="00CE390A">
        <w:rPr>
          <w:lang w:val="en-US"/>
        </w:rPr>
        <w:t xml:space="preserve">It is established and operated in its State of residence exclusively for religious, charitable, scientific, artistic, cultural, athletic, or educational purposes; or it is a professional </w:t>
      </w:r>
      <w:r>
        <w:rPr>
          <w:lang w:val="en-US"/>
        </w:rPr>
        <w:t>organization</w:t>
      </w:r>
      <w:r w:rsidRPr="00CE390A">
        <w:rPr>
          <w:lang w:val="en-US"/>
        </w:rPr>
        <w:t xml:space="preserve">, business association, chamber of commerce, labor </w:t>
      </w:r>
      <w:r>
        <w:rPr>
          <w:lang w:val="en-US"/>
        </w:rPr>
        <w:t>organization</w:t>
      </w:r>
      <w:r w:rsidRPr="00CE390A">
        <w:rPr>
          <w:lang w:val="en-US"/>
        </w:rPr>
        <w:t xml:space="preserve">, agricultural or horticultural </w:t>
      </w:r>
      <w:r>
        <w:rPr>
          <w:lang w:val="en-US"/>
        </w:rPr>
        <w:t>organization</w:t>
      </w:r>
      <w:r w:rsidRPr="00CE390A">
        <w:rPr>
          <w:lang w:val="en-US"/>
        </w:rPr>
        <w:t xml:space="preserve">, civic association, or </w:t>
      </w:r>
      <w:r>
        <w:rPr>
          <w:lang w:val="en-US"/>
        </w:rPr>
        <w:t>organization</w:t>
      </w:r>
      <w:r w:rsidRPr="00CE390A">
        <w:rPr>
          <w:lang w:val="en-US"/>
        </w:rPr>
        <w:t xml:space="preserve"> established and operated in its State of residence exclusively for the purpose of promoting social welfare</w:t>
      </w:r>
      <w:r>
        <w:rPr>
          <w:lang w:val="en-US"/>
        </w:rPr>
        <w:t>;</w:t>
      </w:r>
    </w:p>
    <w:p w14:paraId="5DD19CF0" w14:textId="77777777" w:rsidR="00BA51AC" w:rsidRPr="00CE390A" w:rsidRDefault="004313E0">
      <w:pPr>
        <w:framePr w:wrap="none" w:vAnchor="page" w:hAnchor="page" w:x="10764" w:y="15597"/>
        <w:rPr>
          <w:sz w:val="2"/>
          <w:szCs w:val="2"/>
          <w:lang w:val="en-US"/>
        </w:rPr>
      </w:pPr>
      <w:r w:rsidRPr="00CE390A">
        <w:rPr>
          <w:noProof/>
          <w:lang w:val="en-US"/>
        </w:rPr>
        <w:drawing>
          <wp:inline distT="0" distB="0" distL="0" distR="0" wp14:anchorId="01B84EFC" wp14:editId="16BAC352">
            <wp:extent cx="91440" cy="125095"/>
            <wp:effectExtent l="0" t="0" r="0" b="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a:stretch/>
                  </pic:blipFill>
                  <pic:spPr>
                    <a:xfrm>
                      <a:off x="0" y="0"/>
                      <a:ext cx="91440" cy="125095"/>
                    </a:xfrm>
                    <a:prstGeom prst="rect">
                      <a:avLst/>
                    </a:prstGeom>
                  </pic:spPr>
                </pic:pic>
              </a:graphicData>
            </a:graphic>
          </wp:inline>
        </w:drawing>
      </w:r>
    </w:p>
    <w:p w14:paraId="4D7E9467" w14:textId="77777777" w:rsidR="00BA51AC" w:rsidRPr="00CE390A" w:rsidRDefault="004313E0">
      <w:pPr>
        <w:framePr w:wrap="none" w:vAnchor="page" w:hAnchor="page" w:x="1116" w:y="616"/>
        <w:rPr>
          <w:sz w:val="2"/>
          <w:szCs w:val="2"/>
          <w:lang w:val="en-US"/>
        </w:rPr>
      </w:pPr>
      <w:r w:rsidRPr="00CE390A">
        <w:rPr>
          <w:noProof/>
          <w:lang w:val="en-US"/>
        </w:rPr>
        <w:drawing>
          <wp:inline distT="0" distB="0" distL="0" distR="0" wp14:anchorId="15E3F19B" wp14:editId="64B87ABF">
            <wp:extent cx="810895" cy="701040"/>
            <wp:effectExtent l="0" t="0" r="0" b="0"/>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a:stretch/>
                  </pic:blipFill>
                  <pic:spPr>
                    <a:xfrm>
                      <a:off x="0" y="0"/>
                      <a:ext cx="810895" cy="701040"/>
                    </a:xfrm>
                    <a:prstGeom prst="rect">
                      <a:avLst/>
                    </a:prstGeom>
                  </pic:spPr>
                </pic:pic>
              </a:graphicData>
            </a:graphic>
          </wp:inline>
        </w:drawing>
      </w:r>
    </w:p>
    <w:p w14:paraId="1119E401" w14:textId="77777777" w:rsidR="00BA51AC" w:rsidRPr="00CE390A" w:rsidRDefault="00BA51AC">
      <w:pPr>
        <w:spacing w:line="1" w:lineRule="exact"/>
        <w:rPr>
          <w:lang w:val="en-US"/>
        </w:rPr>
        <w:sectPr w:rsidR="00BA51AC" w:rsidRPr="00CE390A">
          <w:pgSz w:w="11900" w:h="16840"/>
          <w:pgMar w:top="360" w:right="360" w:bottom="360" w:left="360" w:header="0" w:footer="3" w:gutter="0"/>
          <w:cols w:space="720"/>
          <w:noEndnote/>
          <w:docGrid w:linePitch="360"/>
        </w:sectPr>
      </w:pPr>
    </w:p>
    <w:p w14:paraId="294CAD8B" w14:textId="77777777" w:rsidR="00BA51AC" w:rsidRPr="00CE390A" w:rsidRDefault="00BA51AC">
      <w:pPr>
        <w:spacing w:line="1" w:lineRule="exact"/>
        <w:rPr>
          <w:lang w:val="en-US"/>
        </w:rPr>
      </w:pPr>
    </w:p>
    <w:p w14:paraId="0CB01E20" w14:textId="77777777" w:rsidR="00BA51AC" w:rsidRPr="00CE390A" w:rsidRDefault="004313E0">
      <w:pPr>
        <w:pStyle w:val="Szvegtrzs1"/>
        <w:framePr w:w="10114" w:h="13397" w:hRule="exact" w:wrap="none" w:vAnchor="page" w:hAnchor="page" w:x="814" w:y="1802"/>
        <w:numPr>
          <w:ilvl w:val="0"/>
          <w:numId w:val="7"/>
        </w:numPr>
        <w:tabs>
          <w:tab w:val="left" w:pos="668"/>
        </w:tabs>
        <w:spacing w:after="0"/>
        <w:ind w:firstLine="320"/>
        <w:jc w:val="both"/>
        <w:rPr>
          <w:lang w:val="en-US"/>
        </w:rPr>
      </w:pPr>
      <w:bookmarkStart w:id="72" w:name="bookmark72"/>
      <w:bookmarkEnd w:id="72"/>
      <w:r w:rsidRPr="00CE390A">
        <w:rPr>
          <w:lang w:val="en-US"/>
        </w:rPr>
        <w:t>It is exempt from income tax in its State of residence;</w:t>
      </w:r>
    </w:p>
    <w:p w14:paraId="5B805810" w14:textId="77777777" w:rsidR="00BA51AC" w:rsidRPr="00CE390A" w:rsidRDefault="004313E0">
      <w:pPr>
        <w:pStyle w:val="Szvegtrzs1"/>
        <w:framePr w:w="10114" w:h="13397" w:hRule="exact" w:wrap="none" w:vAnchor="page" w:hAnchor="page" w:x="814" w:y="1802"/>
        <w:numPr>
          <w:ilvl w:val="0"/>
          <w:numId w:val="7"/>
        </w:numPr>
        <w:tabs>
          <w:tab w:val="left" w:pos="668"/>
        </w:tabs>
        <w:spacing w:after="0"/>
        <w:ind w:left="580" w:hanging="260"/>
        <w:jc w:val="both"/>
        <w:rPr>
          <w:lang w:val="en-US"/>
        </w:rPr>
      </w:pPr>
      <w:bookmarkStart w:id="73" w:name="bookmark73"/>
      <w:bookmarkEnd w:id="73"/>
      <w:r w:rsidRPr="00CE390A">
        <w:rPr>
          <w:lang w:val="en-US"/>
        </w:rPr>
        <w:t>There are no shareholders or members who have a proprietary or beneficial interest in the income or assets of the Entity;</w:t>
      </w:r>
    </w:p>
    <w:p w14:paraId="65BF3E9E" w14:textId="77777777" w:rsidR="00BA51AC" w:rsidRPr="00CE390A" w:rsidRDefault="004313E0">
      <w:pPr>
        <w:pStyle w:val="Szvegtrzs1"/>
        <w:framePr w:w="10114" w:h="13397" w:hRule="exact" w:wrap="none" w:vAnchor="page" w:hAnchor="page" w:x="814" w:y="1802"/>
        <w:numPr>
          <w:ilvl w:val="0"/>
          <w:numId w:val="7"/>
        </w:numPr>
        <w:tabs>
          <w:tab w:val="left" w:pos="668"/>
        </w:tabs>
        <w:spacing w:after="0"/>
        <w:ind w:left="580" w:hanging="260"/>
        <w:jc w:val="both"/>
        <w:rPr>
          <w:lang w:val="en-US"/>
        </w:rPr>
      </w:pPr>
      <w:bookmarkStart w:id="74" w:name="bookmark74"/>
      <w:bookmarkEnd w:id="74"/>
      <w:r w:rsidRPr="00CE390A">
        <w:rPr>
          <w:lang w:val="en-US"/>
        </w:rPr>
        <w:t>The applicable laws of the Non-Financial Foreign Entity’s State of residence or the Non-Financial Foreign Entity’s Articles of Incorporation do not permit any income or assets of the Non-Financial Foreign Entity to be distributed to, or applied for the benefit of, an individual or non-charitable Entity other than pursuant to the conduct of the Non-Financial Foreign Entity’s charitable activities, or as payment of reasonable compensation for services rendered, or as payment representing the fair market value of property purchased by the Non-Financial Foreign Entity; and</w:t>
      </w:r>
    </w:p>
    <w:p w14:paraId="74D2274F" w14:textId="21B9B665" w:rsidR="00BA51AC" w:rsidRPr="00CE390A" w:rsidRDefault="004313E0">
      <w:pPr>
        <w:pStyle w:val="Szvegtrzs1"/>
        <w:framePr w:w="10114" w:h="13397" w:hRule="exact" w:wrap="none" w:vAnchor="page" w:hAnchor="page" w:x="814" w:y="1802"/>
        <w:numPr>
          <w:ilvl w:val="0"/>
          <w:numId w:val="7"/>
        </w:numPr>
        <w:tabs>
          <w:tab w:val="left" w:pos="668"/>
        </w:tabs>
        <w:spacing w:after="300"/>
        <w:ind w:left="580" w:hanging="260"/>
        <w:jc w:val="both"/>
        <w:rPr>
          <w:lang w:val="en-US"/>
        </w:rPr>
      </w:pPr>
      <w:bookmarkStart w:id="75" w:name="bookmark75"/>
      <w:bookmarkEnd w:id="75"/>
      <w:r w:rsidRPr="00CE390A">
        <w:rPr>
          <w:lang w:val="en-US"/>
        </w:rPr>
        <w:t xml:space="preserve">The applicable laws of the Non-Financial Foreign Entity’s State of residence or the Non-Financial Foreign Entity’s Articles of Incorporation require that, in the event of the Non-Financial Foreign Entity’s liquidation or dissolution, all of its assets be distributed to a governmental entity or other non-profit </w:t>
      </w:r>
      <w:r w:rsidR="00FA54B7">
        <w:rPr>
          <w:lang w:val="en-US"/>
        </w:rPr>
        <w:t>organization</w:t>
      </w:r>
      <w:r w:rsidRPr="00CE390A">
        <w:rPr>
          <w:lang w:val="en-US"/>
        </w:rPr>
        <w:t>, or returned to the government of the Non-Financial Foreign Entity’s Sate of residence or any political subdivision thereof.</w:t>
      </w:r>
    </w:p>
    <w:p w14:paraId="3D3B01D4" w14:textId="77777777" w:rsidR="00BA51AC" w:rsidRPr="00CE390A" w:rsidRDefault="004313E0">
      <w:pPr>
        <w:pStyle w:val="Cmsor10"/>
        <w:framePr w:w="10114" w:h="13397" w:hRule="exact" w:wrap="none" w:vAnchor="page" w:hAnchor="page" w:x="814" w:y="1802"/>
        <w:numPr>
          <w:ilvl w:val="0"/>
          <w:numId w:val="5"/>
        </w:numPr>
        <w:tabs>
          <w:tab w:val="left" w:pos="883"/>
        </w:tabs>
        <w:jc w:val="both"/>
        <w:rPr>
          <w:lang w:val="en-US"/>
        </w:rPr>
      </w:pPr>
      <w:bookmarkStart w:id="76" w:name="bookmark78"/>
      <w:bookmarkStart w:id="77" w:name="bookmark79"/>
      <w:bookmarkStart w:id="78" w:name="bookmark77"/>
      <w:bookmarkStart w:id="79" w:name="bookmark76"/>
      <w:bookmarkEnd w:id="76"/>
      <w:r w:rsidRPr="00CE390A">
        <w:rPr>
          <w:lang w:val="en-US"/>
        </w:rPr>
        <w:t>Specified U.S. Person</w:t>
      </w:r>
      <w:bookmarkEnd w:id="77"/>
      <w:bookmarkEnd w:id="78"/>
      <w:bookmarkEnd w:id="79"/>
    </w:p>
    <w:p w14:paraId="1BC1ECDF" w14:textId="77777777" w:rsidR="00BA51AC" w:rsidRPr="00CE390A" w:rsidRDefault="004313E0">
      <w:pPr>
        <w:pStyle w:val="Szvegtrzs1"/>
        <w:framePr w:w="10114" w:h="13397" w:hRule="exact" w:wrap="none" w:vAnchor="page" w:hAnchor="page" w:x="814" w:y="1802"/>
        <w:spacing w:after="0"/>
        <w:ind w:firstLine="320"/>
        <w:jc w:val="both"/>
        <w:rPr>
          <w:lang w:val="en-US"/>
        </w:rPr>
      </w:pPr>
      <w:r w:rsidRPr="00CE390A">
        <w:rPr>
          <w:lang w:val="en-US"/>
        </w:rPr>
        <w:t>The term “Specified U.S. Person” means a U.S. Person other than:</w:t>
      </w:r>
    </w:p>
    <w:p w14:paraId="79A8EC18" w14:textId="77777777" w:rsidR="00BA51AC" w:rsidRPr="00CE390A" w:rsidRDefault="004313E0">
      <w:pPr>
        <w:pStyle w:val="Szvegtrzs1"/>
        <w:framePr w:w="10114" w:h="13397" w:hRule="exact" w:wrap="none" w:vAnchor="page" w:hAnchor="page" w:x="814" w:y="1802"/>
        <w:numPr>
          <w:ilvl w:val="0"/>
          <w:numId w:val="8"/>
        </w:numPr>
        <w:tabs>
          <w:tab w:val="left" w:pos="668"/>
        </w:tabs>
        <w:spacing w:after="0"/>
        <w:ind w:left="660" w:hanging="340"/>
        <w:jc w:val="both"/>
        <w:rPr>
          <w:lang w:val="en-US"/>
        </w:rPr>
      </w:pPr>
      <w:bookmarkStart w:id="80" w:name="bookmark80"/>
      <w:bookmarkEnd w:id="80"/>
      <w:r w:rsidRPr="00CE390A">
        <w:rPr>
          <w:lang w:val="en-US"/>
        </w:rPr>
        <w:t>a corporation whose shares are regularly traded on one or more established securities markets;</w:t>
      </w:r>
    </w:p>
    <w:p w14:paraId="607640B0" w14:textId="77777777" w:rsidR="00BA51AC" w:rsidRPr="00CE390A" w:rsidRDefault="004313E0">
      <w:pPr>
        <w:pStyle w:val="Szvegtrzs1"/>
        <w:framePr w:w="10114" w:h="13397" w:hRule="exact" w:wrap="none" w:vAnchor="page" w:hAnchor="page" w:x="814" w:y="1802"/>
        <w:numPr>
          <w:ilvl w:val="0"/>
          <w:numId w:val="8"/>
        </w:numPr>
        <w:tabs>
          <w:tab w:val="left" w:pos="668"/>
        </w:tabs>
        <w:spacing w:after="0"/>
        <w:ind w:left="660" w:hanging="340"/>
        <w:jc w:val="both"/>
        <w:rPr>
          <w:lang w:val="en-US"/>
        </w:rPr>
      </w:pPr>
      <w:bookmarkStart w:id="81" w:name="bookmark81"/>
      <w:bookmarkEnd w:id="81"/>
      <w:r w:rsidRPr="00CE390A">
        <w:rPr>
          <w:lang w:val="en-US"/>
        </w:rPr>
        <w:t xml:space="preserve">any corporation that is a member of the same expanded affiliated group, as defined in section 1471(e)(2) of the U.S. Internal Revenue Code, as a corporation as described in clause </w:t>
      </w:r>
      <w:r w:rsidRPr="00CE390A">
        <w:rPr>
          <w:i/>
          <w:iCs/>
          <w:lang w:val="en-US"/>
        </w:rPr>
        <w:t>i)</w:t>
      </w:r>
      <w:r w:rsidRPr="00CE390A">
        <w:rPr>
          <w:lang w:val="en-US"/>
        </w:rPr>
        <w:t>;</w:t>
      </w:r>
    </w:p>
    <w:p w14:paraId="339C9666" w14:textId="77777777" w:rsidR="00BA51AC" w:rsidRPr="00CE390A" w:rsidRDefault="004313E0">
      <w:pPr>
        <w:pStyle w:val="Szvegtrzs1"/>
        <w:framePr w:w="10114" w:h="13397" w:hRule="exact" w:wrap="none" w:vAnchor="page" w:hAnchor="page" w:x="814" w:y="1802"/>
        <w:numPr>
          <w:ilvl w:val="0"/>
          <w:numId w:val="8"/>
        </w:numPr>
        <w:tabs>
          <w:tab w:val="left" w:pos="716"/>
        </w:tabs>
        <w:spacing w:after="0"/>
        <w:ind w:firstLine="320"/>
        <w:jc w:val="both"/>
        <w:rPr>
          <w:lang w:val="en-US"/>
        </w:rPr>
      </w:pPr>
      <w:bookmarkStart w:id="82" w:name="bookmark82"/>
      <w:bookmarkEnd w:id="82"/>
      <w:r w:rsidRPr="00CE390A">
        <w:rPr>
          <w:lang w:val="en-US"/>
        </w:rPr>
        <w:t>the United States, or any wholly owned agency or instrumentality thereof;</w:t>
      </w:r>
    </w:p>
    <w:p w14:paraId="1942A791" w14:textId="77777777" w:rsidR="00BA51AC" w:rsidRPr="00CE390A" w:rsidRDefault="004313E0">
      <w:pPr>
        <w:pStyle w:val="Szvegtrzs1"/>
        <w:framePr w:w="10114" w:h="13397" w:hRule="exact" w:wrap="none" w:vAnchor="page" w:hAnchor="page" w:x="814" w:y="1802"/>
        <w:numPr>
          <w:ilvl w:val="0"/>
          <w:numId w:val="8"/>
        </w:numPr>
        <w:tabs>
          <w:tab w:val="left" w:pos="716"/>
        </w:tabs>
        <w:spacing w:after="0"/>
        <w:ind w:left="660" w:hanging="340"/>
        <w:jc w:val="both"/>
        <w:rPr>
          <w:lang w:val="en-US"/>
        </w:rPr>
      </w:pPr>
      <w:bookmarkStart w:id="83" w:name="bookmark83"/>
      <w:bookmarkEnd w:id="83"/>
      <w:r w:rsidRPr="00CE390A">
        <w:rPr>
          <w:lang w:val="en-US"/>
        </w:rPr>
        <w:t>any state of the United States, a Dependent Territory of the United States, any political subdivision of any of the foregoing, or any wholly owned agency or instrumentality of one or more of the foregoing;</w:t>
      </w:r>
    </w:p>
    <w:p w14:paraId="2D23175B" w14:textId="78890B9D" w:rsidR="00BA51AC" w:rsidRPr="00CE390A" w:rsidRDefault="004313E0">
      <w:pPr>
        <w:pStyle w:val="Szvegtrzs1"/>
        <w:framePr w:w="10114" w:h="13397" w:hRule="exact" w:wrap="none" w:vAnchor="page" w:hAnchor="page" w:x="814" w:y="1802"/>
        <w:numPr>
          <w:ilvl w:val="0"/>
          <w:numId w:val="8"/>
        </w:numPr>
        <w:tabs>
          <w:tab w:val="left" w:pos="716"/>
        </w:tabs>
        <w:spacing w:after="0"/>
        <w:ind w:left="660" w:hanging="340"/>
        <w:jc w:val="both"/>
        <w:rPr>
          <w:lang w:val="en-US"/>
        </w:rPr>
      </w:pPr>
      <w:bookmarkStart w:id="84" w:name="bookmark84"/>
      <w:bookmarkEnd w:id="84"/>
      <w:r w:rsidRPr="00CE390A">
        <w:rPr>
          <w:lang w:val="en-US"/>
        </w:rPr>
        <w:t xml:space="preserve">any </w:t>
      </w:r>
      <w:r w:rsidR="00FA54B7">
        <w:rPr>
          <w:lang w:val="en-US"/>
        </w:rPr>
        <w:t>organization</w:t>
      </w:r>
      <w:r w:rsidRPr="00CE390A">
        <w:rPr>
          <w:lang w:val="en-US"/>
        </w:rPr>
        <w:t xml:space="preserve"> exempt from taxation under section 501(a) of the U.S. Internal Revenue Code or an individual retirement plan as defined in section 7701(a)(37) of the U.S. Internal Revenue Code;</w:t>
      </w:r>
    </w:p>
    <w:p w14:paraId="3643C1F2" w14:textId="77777777" w:rsidR="00BA51AC" w:rsidRPr="00CE390A" w:rsidRDefault="004313E0">
      <w:pPr>
        <w:pStyle w:val="Szvegtrzs1"/>
        <w:framePr w:w="10114" w:h="13397" w:hRule="exact" w:wrap="none" w:vAnchor="page" w:hAnchor="page" w:x="814" w:y="1802"/>
        <w:numPr>
          <w:ilvl w:val="0"/>
          <w:numId w:val="8"/>
        </w:numPr>
        <w:tabs>
          <w:tab w:val="left" w:pos="716"/>
        </w:tabs>
        <w:spacing w:after="0"/>
        <w:ind w:firstLine="320"/>
        <w:jc w:val="both"/>
        <w:rPr>
          <w:lang w:val="en-US"/>
        </w:rPr>
      </w:pPr>
      <w:bookmarkStart w:id="85" w:name="bookmark85"/>
      <w:bookmarkEnd w:id="85"/>
      <w:r w:rsidRPr="00CE390A">
        <w:rPr>
          <w:lang w:val="en-US"/>
        </w:rPr>
        <w:t>any credit institution as defined in section 581 of the U.S. Internal Revenue Code;</w:t>
      </w:r>
    </w:p>
    <w:p w14:paraId="60742A1E" w14:textId="77777777" w:rsidR="00BA51AC" w:rsidRPr="00CE390A" w:rsidRDefault="004313E0" w:rsidP="004313E0">
      <w:pPr>
        <w:pStyle w:val="Szvegtrzs1"/>
        <w:framePr w:w="10114" w:h="13397" w:hRule="exact" w:wrap="none" w:vAnchor="page" w:hAnchor="page" w:x="814" w:y="1802"/>
        <w:numPr>
          <w:ilvl w:val="0"/>
          <w:numId w:val="8"/>
        </w:numPr>
        <w:tabs>
          <w:tab w:val="left" w:pos="769"/>
        </w:tabs>
        <w:spacing w:after="0"/>
        <w:ind w:left="709" w:hanging="389"/>
        <w:jc w:val="both"/>
        <w:rPr>
          <w:lang w:val="en-US"/>
        </w:rPr>
      </w:pPr>
      <w:bookmarkStart w:id="86" w:name="bookmark86"/>
      <w:bookmarkEnd w:id="86"/>
      <w:r w:rsidRPr="00CE390A">
        <w:rPr>
          <w:lang w:val="en-US"/>
        </w:rPr>
        <w:t>any real estate investment trust as defined in section 856 of the U.S. Internal Revenue Code;</w:t>
      </w:r>
    </w:p>
    <w:p w14:paraId="6380AC7E" w14:textId="77777777" w:rsidR="00BA51AC" w:rsidRPr="00CE390A" w:rsidRDefault="004313E0">
      <w:pPr>
        <w:pStyle w:val="Szvegtrzs1"/>
        <w:framePr w:w="10114" w:h="13397" w:hRule="exact" w:wrap="none" w:vAnchor="page" w:hAnchor="page" w:x="814" w:y="1802"/>
        <w:numPr>
          <w:ilvl w:val="0"/>
          <w:numId w:val="8"/>
        </w:numPr>
        <w:tabs>
          <w:tab w:val="left" w:pos="817"/>
        </w:tabs>
        <w:spacing w:after="0"/>
        <w:ind w:left="660" w:hanging="340"/>
        <w:jc w:val="both"/>
        <w:rPr>
          <w:lang w:val="en-US"/>
        </w:rPr>
      </w:pPr>
      <w:bookmarkStart w:id="87" w:name="bookmark87"/>
      <w:bookmarkEnd w:id="87"/>
      <w:r w:rsidRPr="00CE390A">
        <w:rPr>
          <w:lang w:val="en-US"/>
        </w:rPr>
        <w:t>any regulated investment company as defined in section 851 of the U.S. Internal Revenue Code or any entity registered with the U.S. Securities and Exchange Commission under the Investment Company Act of 1940 (15 U.S.C. 80a-64);</w:t>
      </w:r>
    </w:p>
    <w:p w14:paraId="5A6657AE" w14:textId="77777777" w:rsidR="00BA51AC" w:rsidRPr="00CE390A" w:rsidRDefault="004313E0">
      <w:pPr>
        <w:pStyle w:val="Szvegtrzs1"/>
        <w:framePr w:w="10114" w:h="13397" w:hRule="exact" w:wrap="none" w:vAnchor="page" w:hAnchor="page" w:x="814" w:y="1802"/>
        <w:numPr>
          <w:ilvl w:val="0"/>
          <w:numId w:val="8"/>
        </w:numPr>
        <w:tabs>
          <w:tab w:val="left" w:pos="711"/>
        </w:tabs>
        <w:spacing w:after="300"/>
        <w:ind w:left="660" w:hanging="340"/>
        <w:jc w:val="both"/>
        <w:rPr>
          <w:lang w:val="en-US"/>
        </w:rPr>
      </w:pPr>
      <w:bookmarkStart w:id="88" w:name="bookmark88"/>
      <w:bookmarkEnd w:id="88"/>
      <w:r w:rsidRPr="00CE390A">
        <w:rPr>
          <w:lang w:val="en-US"/>
        </w:rPr>
        <w:t>any common trust fund as defined in section 584(a) of the U.S. Internal Revenue Code; (x) any trust that is exempt from tax under section 664(c) of the U.S. Internal Revenue Code or that is described in section 4947(a)(1) of the U.S. Internal Revenue Code;</w:t>
      </w:r>
    </w:p>
    <w:p w14:paraId="233E9C5C" w14:textId="77777777" w:rsidR="00BA51AC" w:rsidRPr="00CE390A" w:rsidRDefault="004313E0">
      <w:pPr>
        <w:pStyle w:val="Szvegtrzs1"/>
        <w:framePr w:w="10114" w:h="13397" w:hRule="exact" w:wrap="none" w:vAnchor="page" w:hAnchor="page" w:x="814" w:y="1802"/>
        <w:numPr>
          <w:ilvl w:val="0"/>
          <w:numId w:val="9"/>
        </w:numPr>
        <w:tabs>
          <w:tab w:val="left" w:pos="711"/>
        </w:tabs>
        <w:spacing w:after="0"/>
        <w:ind w:left="660" w:hanging="340"/>
        <w:jc w:val="both"/>
        <w:rPr>
          <w:lang w:val="en-US"/>
        </w:rPr>
      </w:pPr>
      <w:bookmarkStart w:id="89" w:name="bookmark89"/>
      <w:bookmarkEnd w:id="89"/>
      <w:r w:rsidRPr="00CE390A">
        <w:rPr>
          <w:lang w:val="en-US"/>
        </w:rPr>
        <w:t>any person dealing in securities, commodities, or derivative financial instruments (including interest rate SWAPs and foreign currency SWAPs, futures, forwards, and options) that is registered as such under the laws of the United States or any State;</w:t>
      </w:r>
    </w:p>
    <w:p w14:paraId="34012959" w14:textId="77777777" w:rsidR="00BA51AC" w:rsidRPr="00CE390A" w:rsidRDefault="004313E0">
      <w:pPr>
        <w:pStyle w:val="Szvegtrzs1"/>
        <w:framePr w:w="10114" w:h="13397" w:hRule="exact" w:wrap="none" w:vAnchor="page" w:hAnchor="page" w:x="814" w:y="1802"/>
        <w:numPr>
          <w:ilvl w:val="0"/>
          <w:numId w:val="9"/>
        </w:numPr>
        <w:tabs>
          <w:tab w:val="left" w:pos="764"/>
        </w:tabs>
        <w:spacing w:after="0"/>
        <w:ind w:firstLine="320"/>
        <w:jc w:val="both"/>
        <w:rPr>
          <w:lang w:val="en-US"/>
        </w:rPr>
      </w:pPr>
      <w:bookmarkStart w:id="90" w:name="bookmark90"/>
      <w:bookmarkEnd w:id="90"/>
      <w:r w:rsidRPr="00CE390A">
        <w:rPr>
          <w:lang w:val="en-US"/>
        </w:rPr>
        <w:t>a broker as defined in section 6045(c) of the U.S. Internal Revenue Code, or</w:t>
      </w:r>
    </w:p>
    <w:p w14:paraId="06B47602" w14:textId="29810716" w:rsidR="00D604EB" w:rsidRDefault="004313E0" w:rsidP="00D604EB">
      <w:pPr>
        <w:pStyle w:val="Szvegtrzs1"/>
        <w:framePr w:w="10114" w:h="13397" w:hRule="exact" w:wrap="none" w:vAnchor="page" w:hAnchor="page" w:x="814" w:y="1802"/>
        <w:numPr>
          <w:ilvl w:val="0"/>
          <w:numId w:val="9"/>
        </w:numPr>
        <w:tabs>
          <w:tab w:val="left" w:pos="812"/>
        </w:tabs>
        <w:spacing w:after="0"/>
        <w:ind w:left="660" w:hanging="340"/>
        <w:jc w:val="both"/>
        <w:rPr>
          <w:lang w:val="en-US"/>
        </w:rPr>
      </w:pPr>
      <w:bookmarkStart w:id="91" w:name="bookmark91"/>
      <w:bookmarkEnd w:id="91"/>
      <w:r w:rsidRPr="00CE390A">
        <w:rPr>
          <w:lang w:val="en-US"/>
        </w:rPr>
        <w:t>any tax-exempt trust under a plan that is described in section 403(b) or section 457(g) of the U.S. Internal Revenue Code.</w:t>
      </w:r>
    </w:p>
    <w:p w14:paraId="5A953468" w14:textId="77777777" w:rsidR="00D604EB" w:rsidRDefault="00D604EB" w:rsidP="00D604EB">
      <w:pPr>
        <w:pStyle w:val="Szvegtrzs1"/>
        <w:framePr w:w="10114" w:h="13397" w:hRule="exact" w:wrap="none" w:vAnchor="page" w:hAnchor="page" w:x="814" w:y="1802"/>
        <w:tabs>
          <w:tab w:val="left" w:pos="812"/>
        </w:tabs>
        <w:spacing w:after="0"/>
        <w:ind w:left="660"/>
        <w:jc w:val="both"/>
        <w:rPr>
          <w:lang w:val="en-US"/>
        </w:rPr>
      </w:pPr>
    </w:p>
    <w:p w14:paraId="3FB98084" w14:textId="7A120DEF" w:rsidR="00D604EB" w:rsidRPr="00CE390A" w:rsidRDefault="00D604EB" w:rsidP="00D604EB">
      <w:pPr>
        <w:pStyle w:val="Cmsor10"/>
        <w:framePr w:w="10114" w:h="13397" w:hRule="exact" w:wrap="none" w:vAnchor="page" w:hAnchor="page" w:x="814" w:y="1802"/>
        <w:numPr>
          <w:ilvl w:val="0"/>
          <w:numId w:val="5"/>
        </w:numPr>
        <w:tabs>
          <w:tab w:val="left" w:pos="886"/>
        </w:tabs>
        <w:rPr>
          <w:lang w:val="en-US"/>
        </w:rPr>
      </w:pPr>
      <w:r w:rsidRPr="00CE390A">
        <w:rPr>
          <w:lang w:val="en-US"/>
        </w:rPr>
        <w:t>Non-Financial Foreign Entity</w:t>
      </w:r>
    </w:p>
    <w:p w14:paraId="4A841C19" w14:textId="77777777" w:rsidR="00D604EB" w:rsidRPr="00CE390A" w:rsidRDefault="00D604EB" w:rsidP="00D604EB">
      <w:pPr>
        <w:pStyle w:val="Szvegtrzs1"/>
        <w:framePr w:w="10114" w:h="13397" w:hRule="exact" w:wrap="none" w:vAnchor="page" w:hAnchor="page" w:x="814" w:y="1802"/>
        <w:ind w:left="320"/>
        <w:jc w:val="both"/>
        <w:rPr>
          <w:lang w:val="en-US"/>
        </w:rPr>
      </w:pPr>
      <w:r w:rsidRPr="00CE390A">
        <w:rPr>
          <w:lang w:val="en-US"/>
        </w:rPr>
        <w:t>A “Non-Financial Foreign Entity” means any Non-U.S. Entity that is not a Foreign Financial Institution as defined in the relevant U.S. Treasury Regulations, or is an Entity described in subparagraph B(4)(j) of this section, and also includes any Non-U.S. Entity that is established in Hungary or another Partner Jurisdiction and that is not a Financial Institution.</w:t>
      </w:r>
    </w:p>
    <w:p w14:paraId="65949D79" w14:textId="77777777" w:rsidR="00D604EB" w:rsidRPr="00D604EB" w:rsidRDefault="00D604EB" w:rsidP="00D604EB">
      <w:pPr>
        <w:pStyle w:val="Szvegtrzs1"/>
        <w:framePr w:w="10114" w:h="13397" w:hRule="exact" w:wrap="none" w:vAnchor="page" w:hAnchor="page" w:x="814" w:y="1802"/>
        <w:tabs>
          <w:tab w:val="left" w:pos="812"/>
        </w:tabs>
        <w:spacing w:after="0"/>
        <w:ind w:left="660"/>
        <w:jc w:val="both"/>
        <w:rPr>
          <w:lang w:val="en-US"/>
        </w:rPr>
      </w:pPr>
    </w:p>
    <w:p w14:paraId="1D2FF2CE" w14:textId="77777777" w:rsidR="00BA51AC" w:rsidRPr="00CE390A" w:rsidRDefault="004313E0">
      <w:pPr>
        <w:framePr w:wrap="none" w:vAnchor="page" w:hAnchor="page" w:x="10769" w:y="15597"/>
        <w:rPr>
          <w:sz w:val="2"/>
          <w:szCs w:val="2"/>
          <w:lang w:val="en-US"/>
        </w:rPr>
      </w:pPr>
      <w:r w:rsidRPr="00CE390A">
        <w:rPr>
          <w:noProof/>
          <w:lang w:val="en-US"/>
        </w:rPr>
        <w:drawing>
          <wp:inline distT="0" distB="0" distL="0" distR="0" wp14:anchorId="1449D2C2" wp14:editId="6F2724B4">
            <wp:extent cx="94615" cy="125095"/>
            <wp:effectExtent l="0" t="0" r="0" b="0"/>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a:stretch/>
                  </pic:blipFill>
                  <pic:spPr>
                    <a:xfrm>
                      <a:off x="0" y="0"/>
                      <a:ext cx="94615" cy="125095"/>
                    </a:xfrm>
                    <a:prstGeom prst="rect">
                      <a:avLst/>
                    </a:prstGeom>
                  </pic:spPr>
                </pic:pic>
              </a:graphicData>
            </a:graphic>
          </wp:inline>
        </w:drawing>
      </w:r>
    </w:p>
    <w:p w14:paraId="5382994F" w14:textId="77777777" w:rsidR="00BA51AC" w:rsidRPr="00CE390A" w:rsidRDefault="004313E0">
      <w:pPr>
        <w:framePr w:wrap="none" w:vAnchor="page" w:hAnchor="page" w:x="1044" w:y="674"/>
        <w:rPr>
          <w:sz w:val="2"/>
          <w:szCs w:val="2"/>
          <w:lang w:val="en-US"/>
        </w:rPr>
      </w:pPr>
      <w:r w:rsidRPr="00CE390A">
        <w:rPr>
          <w:noProof/>
          <w:lang w:val="en-US"/>
        </w:rPr>
        <w:drawing>
          <wp:inline distT="0" distB="0" distL="0" distR="0" wp14:anchorId="4BB8117D" wp14:editId="6F83CB3D">
            <wp:extent cx="883920" cy="670560"/>
            <wp:effectExtent l="0" t="0" r="0" b="0"/>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a:stretch/>
                  </pic:blipFill>
                  <pic:spPr>
                    <a:xfrm>
                      <a:off x="0" y="0"/>
                      <a:ext cx="883920" cy="670560"/>
                    </a:xfrm>
                    <a:prstGeom prst="rect">
                      <a:avLst/>
                    </a:prstGeom>
                  </pic:spPr>
                </pic:pic>
              </a:graphicData>
            </a:graphic>
          </wp:inline>
        </w:drawing>
      </w:r>
    </w:p>
    <w:p w14:paraId="1B2567A3" w14:textId="77777777" w:rsidR="00BA51AC" w:rsidRPr="00CE390A" w:rsidRDefault="00BA51AC">
      <w:pPr>
        <w:spacing w:line="1" w:lineRule="exact"/>
        <w:rPr>
          <w:lang w:val="en-US"/>
        </w:rPr>
        <w:sectPr w:rsidR="00BA51AC" w:rsidRPr="00CE390A">
          <w:pgSz w:w="11900" w:h="16840"/>
          <w:pgMar w:top="360" w:right="360" w:bottom="360" w:left="360" w:header="0" w:footer="3" w:gutter="0"/>
          <w:cols w:space="720"/>
          <w:noEndnote/>
          <w:docGrid w:linePitch="360"/>
        </w:sectPr>
      </w:pPr>
    </w:p>
    <w:p w14:paraId="05058FD1" w14:textId="77777777" w:rsidR="00BA51AC" w:rsidRPr="00CE390A" w:rsidRDefault="00BA51AC">
      <w:pPr>
        <w:spacing w:line="1" w:lineRule="exact"/>
        <w:rPr>
          <w:lang w:val="en-US"/>
        </w:rPr>
      </w:pPr>
    </w:p>
    <w:p w14:paraId="3E80A7D5" w14:textId="77777777" w:rsidR="00BA51AC" w:rsidRPr="00CE390A" w:rsidRDefault="004313E0">
      <w:pPr>
        <w:framePr w:wrap="none" w:vAnchor="page" w:hAnchor="page" w:x="1138" w:y="693"/>
        <w:rPr>
          <w:sz w:val="2"/>
          <w:szCs w:val="2"/>
          <w:lang w:val="en-US"/>
        </w:rPr>
      </w:pPr>
      <w:r w:rsidRPr="00CE390A">
        <w:rPr>
          <w:noProof/>
          <w:lang w:val="en-US"/>
        </w:rPr>
        <w:drawing>
          <wp:inline distT="0" distB="0" distL="0" distR="0" wp14:anchorId="2E18D367" wp14:editId="0972F428">
            <wp:extent cx="801370" cy="636905"/>
            <wp:effectExtent l="0" t="0" r="0" b="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2"/>
                    <a:stretch/>
                  </pic:blipFill>
                  <pic:spPr>
                    <a:xfrm>
                      <a:off x="0" y="0"/>
                      <a:ext cx="801370" cy="636905"/>
                    </a:xfrm>
                    <a:prstGeom prst="rect">
                      <a:avLst/>
                    </a:prstGeom>
                  </pic:spPr>
                </pic:pic>
              </a:graphicData>
            </a:graphic>
          </wp:inline>
        </w:drawing>
      </w:r>
    </w:p>
    <w:p w14:paraId="075AA3BA" w14:textId="77777777" w:rsidR="00BA51AC" w:rsidRPr="00CE390A" w:rsidRDefault="004313E0" w:rsidP="002A6F26">
      <w:pPr>
        <w:pStyle w:val="Cmsor10"/>
        <w:framePr w:w="10118" w:h="13501" w:hRule="exact" w:wrap="none" w:vAnchor="page" w:hAnchor="page" w:x="811" w:y="2378"/>
        <w:numPr>
          <w:ilvl w:val="0"/>
          <w:numId w:val="5"/>
        </w:numPr>
        <w:tabs>
          <w:tab w:val="left" w:pos="886"/>
        </w:tabs>
        <w:rPr>
          <w:lang w:val="en-US"/>
        </w:rPr>
      </w:pPr>
      <w:bookmarkStart w:id="92" w:name="bookmark94"/>
      <w:bookmarkStart w:id="93" w:name="bookmark98"/>
      <w:bookmarkStart w:id="94" w:name="bookmark99"/>
      <w:bookmarkStart w:id="95" w:name="bookmark97"/>
      <w:bookmarkStart w:id="96" w:name="bookmark96"/>
      <w:bookmarkEnd w:id="92"/>
      <w:bookmarkEnd w:id="93"/>
      <w:r w:rsidRPr="00CE390A">
        <w:rPr>
          <w:lang w:val="en-US"/>
        </w:rPr>
        <w:t>Passive Non-Financial Foreign Entity</w:t>
      </w:r>
      <w:bookmarkEnd w:id="94"/>
      <w:bookmarkEnd w:id="95"/>
      <w:bookmarkEnd w:id="96"/>
    </w:p>
    <w:p w14:paraId="3B47C507" w14:textId="77777777" w:rsidR="00BA51AC" w:rsidRPr="00CE390A" w:rsidRDefault="004313E0" w:rsidP="002A6F26">
      <w:pPr>
        <w:pStyle w:val="Szvegtrzs1"/>
        <w:framePr w:w="10118" w:h="13501" w:hRule="exact" w:wrap="none" w:vAnchor="page" w:hAnchor="page" w:x="811" w:y="2378"/>
        <w:ind w:left="320"/>
        <w:jc w:val="both"/>
        <w:rPr>
          <w:lang w:val="en-US"/>
        </w:rPr>
      </w:pPr>
      <w:r w:rsidRPr="00CE390A">
        <w:rPr>
          <w:lang w:val="en-US"/>
        </w:rPr>
        <w:t xml:space="preserve">A “Passive Non-Financial Foreign Entity” means any Non-Financial Foreign Entity that is not (i) an Active Non-Financial Foreign Entity or (ii) a withholding foreign partnership or withholding foreign trust </w:t>
      </w:r>
      <w:r w:rsidRPr="00CE390A">
        <w:rPr>
          <w:b/>
          <w:bCs/>
          <w:lang w:val="en-US"/>
        </w:rPr>
        <w:t>pursuant to relevant U.S. Treasury Regulations.</w:t>
      </w:r>
    </w:p>
    <w:p w14:paraId="4B5E68B2" w14:textId="77777777" w:rsidR="00BA51AC" w:rsidRPr="00CE390A" w:rsidRDefault="004313E0" w:rsidP="002A6F26">
      <w:pPr>
        <w:pStyle w:val="Cmsor10"/>
        <w:framePr w:w="10118" w:h="13501" w:hRule="exact" w:wrap="none" w:vAnchor="page" w:hAnchor="page" w:x="811" w:y="2378"/>
        <w:numPr>
          <w:ilvl w:val="0"/>
          <w:numId w:val="5"/>
        </w:numPr>
        <w:tabs>
          <w:tab w:val="left" w:pos="886"/>
        </w:tabs>
        <w:rPr>
          <w:lang w:val="en-US"/>
        </w:rPr>
      </w:pPr>
      <w:bookmarkStart w:id="97" w:name="bookmark102"/>
      <w:bookmarkStart w:id="98" w:name="bookmark103"/>
      <w:bookmarkStart w:id="99" w:name="bookmark101"/>
      <w:bookmarkStart w:id="100" w:name="bookmark100"/>
      <w:bookmarkEnd w:id="97"/>
      <w:r w:rsidRPr="00CE390A">
        <w:rPr>
          <w:lang w:val="en-US"/>
        </w:rPr>
        <w:t>U.S. Tax Residency:</w:t>
      </w:r>
      <w:bookmarkEnd w:id="98"/>
      <w:bookmarkEnd w:id="99"/>
      <w:bookmarkEnd w:id="100"/>
    </w:p>
    <w:p w14:paraId="7FE3559E" w14:textId="77777777" w:rsidR="00BA51AC" w:rsidRPr="00CE390A" w:rsidRDefault="004313E0" w:rsidP="002A6F26">
      <w:pPr>
        <w:pStyle w:val="Szvegtrzs1"/>
        <w:framePr w:w="10118" w:h="13501" w:hRule="exact" w:wrap="none" w:vAnchor="page" w:hAnchor="page" w:x="811" w:y="2378"/>
        <w:ind w:left="320"/>
        <w:jc w:val="both"/>
        <w:rPr>
          <w:lang w:val="en-US"/>
        </w:rPr>
      </w:pPr>
      <w:r w:rsidRPr="00CE390A">
        <w:rPr>
          <w:lang w:val="en-US"/>
        </w:rPr>
        <w:t>According to the rules of the Internal Revenue Code applicable to residency, any alien individual who is not a RESIDENT ALIEN (is not resident in the-U.S.) is a NON-RESIDENT ALIEN. An alien individual becomes a RESIDENT ALIEN if one of the following criteria applies to him/her:</w:t>
      </w:r>
    </w:p>
    <w:p w14:paraId="4F589040" w14:textId="77777777" w:rsidR="00BA51AC" w:rsidRPr="00CE390A" w:rsidRDefault="004313E0" w:rsidP="002A6F26">
      <w:pPr>
        <w:pStyle w:val="Szvegtrzs1"/>
        <w:framePr w:w="10118" w:h="13501" w:hRule="exact" w:wrap="none" w:vAnchor="page" w:hAnchor="page" w:x="811" w:y="2378"/>
        <w:numPr>
          <w:ilvl w:val="0"/>
          <w:numId w:val="10"/>
        </w:numPr>
        <w:tabs>
          <w:tab w:val="left" w:pos="603"/>
        </w:tabs>
        <w:ind w:left="480" w:hanging="160"/>
        <w:jc w:val="both"/>
        <w:rPr>
          <w:lang w:val="en-US"/>
        </w:rPr>
      </w:pPr>
      <w:bookmarkStart w:id="101" w:name="bookmark104"/>
      <w:bookmarkEnd w:id="101"/>
      <w:r w:rsidRPr="00CE390A">
        <w:rPr>
          <w:lang w:val="en-US"/>
        </w:rPr>
        <w:t>If he/she has been lawfully admitted to the U.S. as a permanent resident or has become a Lawful Permanent Resident (the “Green Card Test”)</w:t>
      </w:r>
    </w:p>
    <w:p w14:paraId="13A2B8DA" w14:textId="77777777" w:rsidR="00BA51AC" w:rsidRPr="00CE390A" w:rsidRDefault="004313E0" w:rsidP="002A6F26">
      <w:pPr>
        <w:pStyle w:val="Szvegtrzs1"/>
        <w:framePr w:w="10118" w:h="13501" w:hRule="exact" w:wrap="none" w:vAnchor="page" w:hAnchor="page" w:x="811" w:y="2378"/>
        <w:numPr>
          <w:ilvl w:val="0"/>
          <w:numId w:val="10"/>
        </w:numPr>
        <w:tabs>
          <w:tab w:val="left" w:pos="608"/>
        </w:tabs>
        <w:ind w:left="284" w:firstLine="36"/>
        <w:rPr>
          <w:lang w:val="en-US"/>
        </w:rPr>
      </w:pPr>
      <w:bookmarkStart w:id="102" w:name="bookmark105"/>
      <w:bookmarkEnd w:id="102"/>
      <w:r w:rsidRPr="00CE390A">
        <w:rPr>
          <w:lang w:val="en-US"/>
        </w:rPr>
        <w:t>He/she passes the so-called “Substantial Presence Test” (a formula that measures the number of days present in the U.S.)</w:t>
      </w:r>
    </w:p>
    <w:p w14:paraId="649A2F40" w14:textId="77777777" w:rsidR="00BA51AC" w:rsidRPr="00CE390A" w:rsidRDefault="004313E0" w:rsidP="002A6F26">
      <w:pPr>
        <w:pStyle w:val="Szvegtrzs1"/>
        <w:framePr w:w="10118" w:h="13501" w:hRule="exact" w:wrap="none" w:vAnchor="page" w:hAnchor="page" w:x="811" w:y="2378"/>
        <w:numPr>
          <w:ilvl w:val="0"/>
          <w:numId w:val="10"/>
        </w:numPr>
        <w:tabs>
          <w:tab w:val="left" w:pos="613"/>
        </w:tabs>
        <w:ind w:left="320"/>
        <w:jc w:val="both"/>
        <w:rPr>
          <w:lang w:val="en-US"/>
        </w:rPr>
      </w:pPr>
      <w:bookmarkStart w:id="103" w:name="bookmark106"/>
      <w:bookmarkEnd w:id="103"/>
      <w:r w:rsidRPr="00CE390A">
        <w:rPr>
          <w:lang w:val="en-US"/>
        </w:rPr>
        <w:t>Taking advantage of the “First-Year Choice Election” (a formula that allows a person to complete the Substantial Presence Test one year earlier than under the normal rules)</w:t>
      </w:r>
    </w:p>
    <w:p w14:paraId="0A13A2F7" w14:textId="77777777" w:rsidR="00BA51AC" w:rsidRPr="00CE390A" w:rsidRDefault="004313E0" w:rsidP="002A6F26">
      <w:pPr>
        <w:pStyle w:val="Szvegtrzs1"/>
        <w:framePr w:w="10118" w:h="13501" w:hRule="exact" w:wrap="none" w:vAnchor="page" w:hAnchor="page" w:x="811" w:y="2378"/>
        <w:ind w:left="320"/>
        <w:rPr>
          <w:lang w:val="en-US"/>
        </w:rPr>
      </w:pPr>
      <w:r w:rsidRPr="00CE390A">
        <w:rPr>
          <w:u w:val="single"/>
          <w:lang w:val="en-US"/>
        </w:rPr>
        <w:t>Green Card Test</w:t>
      </w:r>
    </w:p>
    <w:p w14:paraId="2E5F82BF" w14:textId="77777777" w:rsidR="00BA51AC" w:rsidRPr="00CE390A" w:rsidRDefault="004313E0" w:rsidP="002A6F26">
      <w:pPr>
        <w:pStyle w:val="Szvegtrzs1"/>
        <w:framePr w:w="10118" w:h="13501" w:hRule="exact" w:wrap="none" w:vAnchor="page" w:hAnchor="page" w:x="811" w:y="2378"/>
        <w:ind w:left="320"/>
        <w:rPr>
          <w:lang w:val="en-US"/>
        </w:rPr>
      </w:pPr>
      <w:r w:rsidRPr="00CE390A">
        <w:rPr>
          <w:lang w:val="en-US"/>
        </w:rPr>
        <w:t>You are considered a resident for U.S. federal tax purposes if you are a U.S. Lawful Permanent Resident at any time during the calendar year. This is called the “Green Card Test”. You are considered a U.S. Lawful Permanent Resident if you have been given the privilege – under U.S. immigration rules – of residing permanently in the United States as an immigrant. You will generally have this status if the U.S. Citizenship and Immigration Services (USCIS) has issued you an alien registration card (Form I -551), also known as a “green card”.</w:t>
      </w:r>
    </w:p>
    <w:p w14:paraId="2127A8E3" w14:textId="77777777" w:rsidR="00BA51AC" w:rsidRPr="00CE390A" w:rsidRDefault="004313E0" w:rsidP="002A6F26">
      <w:pPr>
        <w:pStyle w:val="Szvegtrzs1"/>
        <w:framePr w:w="10118" w:h="13501" w:hRule="exact" w:wrap="none" w:vAnchor="page" w:hAnchor="page" w:x="811" w:y="2378"/>
        <w:ind w:left="320"/>
        <w:rPr>
          <w:lang w:val="en-US"/>
        </w:rPr>
      </w:pPr>
      <w:r w:rsidRPr="00CE390A">
        <w:rPr>
          <w:lang w:val="en-US"/>
        </w:rPr>
        <w:t>You will continue to have a U.S. resident status until:</w:t>
      </w:r>
    </w:p>
    <w:p w14:paraId="0986DB98" w14:textId="77777777" w:rsidR="00BA51AC" w:rsidRPr="00CE390A" w:rsidRDefault="004313E0" w:rsidP="002A6F26">
      <w:pPr>
        <w:pStyle w:val="Szvegtrzs1"/>
        <w:framePr w:w="10118" w:h="13501" w:hRule="exact" w:wrap="none" w:vAnchor="page" w:hAnchor="page" w:x="811" w:y="2378"/>
        <w:numPr>
          <w:ilvl w:val="0"/>
          <w:numId w:val="2"/>
        </w:numPr>
        <w:tabs>
          <w:tab w:val="left" w:pos="574"/>
        </w:tabs>
        <w:spacing w:after="0"/>
        <w:ind w:left="320"/>
        <w:rPr>
          <w:lang w:val="en-US"/>
        </w:rPr>
      </w:pPr>
      <w:bookmarkStart w:id="104" w:name="bookmark107"/>
      <w:bookmarkEnd w:id="104"/>
      <w:r w:rsidRPr="00CE390A">
        <w:rPr>
          <w:lang w:val="en-US"/>
        </w:rPr>
        <w:t>you voluntarily renounce that status to USCIS, or</w:t>
      </w:r>
    </w:p>
    <w:p w14:paraId="15A30281" w14:textId="77777777" w:rsidR="00BA51AC" w:rsidRPr="00CE390A" w:rsidRDefault="004313E0" w:rsidP="002A6F26">
      <w:pPr>
        <w:pStyle w:val="Szvegtrzs1"/>
        <w:framePr w:w="10118" w:h="13501" w:hRule="exact" w:wrap="none" w:vAnchor="page" w:hAnchor="page" w:x="811" w:y="2378"/>
        <w:numPr>
          <w:ilvl w:val="0"/>
          <w:numId w:val="2"/>
        </w:numPr>
        <w:tabs>
          <w:tab w:val="left" w:pos="574"/>
        </w:tabs>
        <w:spacing w:after="0"/>
        <w:ind w:firstLine="320"/>
        <w:rPr>
          <w:lang w:val="en-US"/>
        </w:rPr>
      </w:pPr>
      <w:bookmarkStart w:id="105" w:name="bookmark108"/>
      <w:bookmarkEnd w:id="105"/>
      <w:r w:rsidRPr="00CE390A">
        <w:rPr>
          <w:lang w:val="en-US"/>
        </w:rPr>
        <w:t>your immigrant status is formally terminated by USCIS, or</w:t>
      </w:r>
    </w:p>
    <w:p w14:paraId="29A3CFC1" w14:textId="77777777" w:rsidR="00BA51AC" w:rsidRPr="00CE390A" w:rsidRDefault="004313E0" w:rsidP="002A6F26">
      <w:pPr>
        <w:pStyle w:val="Szvegtrzs1"/>
        <w:framePr w:w="10118" w:h="13501" w:hRule="exact" w:wrap="none" w:vAnchor="page" w:hAnchor="page" w:x="811" w:y="2378"/>
        <w:numPr>
          <w:ilvl w:val="0"/>
          <w:numId w:val="2"/>
        </w:numPr>
        <w:tabs>
          <w:tab w:val="left" w:pos="574"/>
        </w:tabs>
        <w:spacing w:after="0"/>
        <w:ind w:firstLine="320"/>
        <w:rPr>
          <w:lang w:val="en-US"/>
        </w:rPr>
      </w:pPr>
      <w:bookmarkStart w:id="106" w:name="bookmark109"/>
      <w:bookmarkEnd w:id="106"/>
      <w:r w:rsidRPr="00CE390A">
        <w:rPr>
          <w:lang w:val="en-US"/>
        </w:rPr>
        <w:t>your immigrant status is terminated by a U.S. federal court order.</w:t>
      </w:r>
    </w:p>
    <w:p w14:paraId="0C65DE22" w14:textId="77777777" w:rsidR="00BA51AC" w:rsidRPr="00CE390A" w:rsidRDefault="004313E0" w:rsidP="002A6F26">
      <w:pPr>
        <w:pStyle w:val="Szvegtrzs1"/>
        <w:framePr w:w="10118" w:h="13501" w:hRule="exact" w:wrap="none" w:vAnchor="page" w:hAnchor="page" w:x="811" w:y="2378"/>
        <w:ind w:left="320"/>
        <w:jc w:val="both"/>
        <w:rPr>
          <w:lang w:val="en-US"/>
        </w:rPr>
      </w:pPr>
      <w:r w:rsidRPr="00CE390A">
        <w:rPr>
          <w:lang w:val="en-US"/>
        </w:rPr>
        <w:t>If you meet the “Green Card Test” at any time during the calendar year, but do not meet the “Substantial Presence Test” for that year, the date of commencement of your residency will be the first day on which you are present in the U.S. as a Lawful Permanent Resident. However, an alien individual who is present in the U.S. as a Lawful Permanent Resident at any time during a calendar year may choose the RESIDENT ALIEN classification for the entire calendar year.</w:t>
      </w:r>
    </w:p>
    <w:p w14:paraId="3B07689D" w14:textId="153DABB1" w:rsidR="00BA51AC" w:rsidRPr="00CE390A" w:rsidRDefault="004313E0" w:rsidP="00D604EB">
      <w:pPr>
        <w:pStyle w:val="Szvegtrzs1"/>
        <w:framePr w:w="10118" w:h="13501" w:hRule="exact" w:wrap="none" w:vAnchor="page" w:hAnchor="page" w:x="811" w:y="2378"/>
        <w:spacing w:after="0"/>
        <w:ind w:left="284"/>
        <w:rPr>
          <w:lang w:val="en-US"/>
        </w:rPr>
      </w:pPr>
      <w:r w:rsidRPr="00CE390A">
        <w:rPr>
          <w:u w:val="single"/>
          <w:lang w:val="en-US"/>
        </w:rPr>
        <w:t>Substantial Presence Test</w:t>
      </w:r>
      <w:r w:rsidRPr="00CE390A">
        <w:rPr>
          <w:lang w:val="en-US"/>
        </w:rPr>
        <w:t xml:space="preserve"> A person who is either a permanent resident of the U.S. or who has spent at least 31 (thirty-one) days during the year under review and 183 (one hundred and eighty-three) days on average over the last 3 (three) years within the territory of the U.S. is also considered a U.S. tax resident and is therefore taxed in the same way as a U.S. citizen. This is calculated by taking into account all days spent in the U.S. in a</w:t>
      </w:r>
      <w:r w:rsidR="00D604EB">
        <w:rPr>
          <w:lang w:val="en-US"/>
        </w:rPr>
        <w:t xml:space="preserve"> </w:t>
      </w:r>
      <w:r w:rsidR="00D604EB" w:rsidRPr="00CE390A">
        <w:rPr>
          <w:lang w:val="en-US"/>
        </w:rPr>
        <w:t>given year, adding 1/3 of the days spent in the previous year and 1/6 of the days spent in the U.S. in the second year before that year.</w:t>
      </w:r>
      <w:r w:rsidRPr="00CE390A">
        <w:rPr>
          <w:lang w:val="en-US"/>
        </w:rPr>
        <w:t xml:space="preserve"> </w:t>
      </w:r>
    </w:p>
    <w:p w14:paraId="26451399" w14:textId="77777777" w:rsidR="00BA51AC" w:rsidRPr="00CE390A" w:rsidRDefault="004313E0">
      <w:pPr>
        <w:framePr w:wrap="none" w:vAnchor="page" w:hAnchor="page" w:x="10771" w:y="15597"/>
        <w:rPr>
          <w:sz w:val="2"/>
          <w:szCs w:val="2"/>
          <w:lang w:val="en-US"/>
        </w:rPr>
      </w:pPr>
      <w:r w:rsidRPr="00CE390A">
        <w:rPr>
          <w:noProof/>
          <w:lang w:val="en-US"/>
        </w:rPr>
        <w:drawing>
          <wp:inline distT="0" distB="0" distL="0" distR="0" wp14:anchorId="1A0D5EED" wp14:editId="0DFF6D03">
            <wp:extent cx="94615" cy="125095"/>
            <wp:effectExtent l="0" t="0" r="0" b="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3"/>
                    <a:stretch/>
                  </pic:blipFill>
                  <pic:spPr>
                    <a:xfrm>
                      <a:off x="0" y="0"/>
                      <a:ext cx="94615" cy="125095"/>
                    </a:xfrm>
                    <a:prstGeom prst="rect">
                      <a:avLst/>
                    </a:prstGeom>
                  </pic:spPr>
                </pic:pic>
              </a:graphicData>
            </a:graphic>
          </wp:inline>
        </w:drawing>
      </w:r>
    </w:p>
    <w:p w14:paraId="7A518BCC" w14:textId="77777777" w:rsidR="00BA51AC" w:rsidRPr="00CE390A" w:rsidRDefault="00BA51AC">
      <w:pPr>
        <w:spacing w:line="1" w:lineRule="exact"/>
        <w:rPr>
          <w:lang w:val="en-US"/>
        </w:rPr>
        <w:sectPr w:rsidR="00BA51AC" w:rsidRPr="00CE390A">
          <w:pgSz w:w="11900" w:h="16840"/>
          <w:pgMar w:top="360" w:right="360" w:bottom="360" w:left="360" w:header="0" w:footer="3" w:gutter="0"/>
          <w:cols w:space="720"/>
          <w:noEndnote/>
          <w:docGrid w:linePitch="360"/>
        </w:sectPr>
      </w:pPr>
    </w:p>
    <w:p w14:paraId="256D0E64" w14:textId="77777777" w:rsidR="00BA51AC" w:rsidRPr="00CE390A" w:rsidRDefault="00BA51AC">
      <w:pPr>
        <w:spacing w:line="1" w:lineRule="exact"/>
        <w:rPr>
          <w:lang w:val="en-US"/>
        </w:rPr>
      </w:pPr>
    </w:p>
    <w:p w14:paraId="6C3512F3" w14:textId="77777777" w:rsidR="00BA51AC" w:rsidRPr="00CE390A" w:rsidRDefault="004313E0">
      <w:pPr>
        <w:pStyle w:val="Fejlcvagylblc0"/>
        <w:framePr w:w="154" w:h="288" w:hRule="exact" w:wrap="none" w:vAnchor="page" w:hAnchor="page" w:x="10696" w:y="15554"/>
        <w:spacing w:line="240" w:lineRule="auto"/>
        <w:ind w:left="0"/>
        <w:jc w:val="right"/>
        <w:rPr>
          <w:lang w:val="en-US"/>
        </w:rPr>
      </w:pPr>
      <w:r w:rsidRPr="00CE390A">
        <w:rPr>
          <w:lang w:val="en-US"/>
        </w:rPr>
        <w:t>8</w:t>
      </w:r>
    </w:p>
    <w:p w14:paraId="4B24DA41" w14:textId="77777777" w:rsidR="00BA51AC" w:rsidRPr="00CE390A" w:rsidRDefault="004313E0">
      <w:pPr>
        <w:framePr w:wrap="none" w:vAnchor="page" w:hAnchor="page" w:x="1019" w:y="650"/>
        <w:rPr>
          <w:sz w:val="2"/>
          <w:szCs w:val="2"/>
          <w:lang w:val="en-US"/>
        </w:rPr>
      </w:pPr>
      <w:r w:rsidRPr="00CE390A">
        <w:rPr>
          <w:noProof/>
          <w:lang w:val="en-US"/>
        </w:rPr>
        <w:drawing>
          <wp:inline distT="0" distB="0" distL="0" distR="0" wp14:anchorId="1B05C770" wp14:editId="34F69DD8">
            <wp:extent cx="844550" cy="679450"/>
            <wp:effectExtent l="0" t="0" r="0" b="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4"/>
                    <a:stretch/>
                  </pic:blipFill>
                  <pic:spPr>
                    <a:xfrm>
                      <a:off x="0" y="0"/>
                      <a:ext cx="844550" cy="679450"/>
                    </a:xfrm>
                    <a:prstGeom prst="rect">
                      <a:avLst/>
                    </a:prstGeom>
                  </pic:spPr>
                </pic:pic>
              </a:graphicData>
            </a:graphic>
          </wp:inline>
        </w:drawing>
      </w:r>
    </w:p>
    <w:p w14:paraId="5E37DCEC" w14:textId="77777777" w:rsidR="00BA51AC" w:rsidRPr="00CE390A" w:rsidRDefault="00BA51AC">
      <w:pPr>
        <w:spacing w:line="1" w:lineRule="exact"/>
        <w:rPr>
          <w:lang w:val="en-US"/>
        </w:rPr>
      </w:pPr>
    </w:p>
    <w:sectPr w:rsidR="00BA51AC" w:rsidRPr="00CE390A">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4903A" w14:textId="77777777" w:rsidR="004313E0" w:rsidRDefault="004313E0">
      <w:r>
        <w:separator/>
      </w:r>
    </w:p>
  </w:endnote>
  <w:endnote w:type="continuationSeparator" w:id="0">
    <w:p w14:paraId="2FCCD465" w14:textId="77777777" w:rsidR="004313E0" w:rsidRDefault="00431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326B8" w14:textId="77777777" w:rsidR="00BA51AC" w:rsidRDefault="00BA51AC"/>
  </w:footnote>
  <w:footnote w:type="continuationSeparator" w:id="0">
    <w:p w14:paraId="51DC3B6B" w14:textId="77777777" w:rsidR="00BA51AC" w:rsidRDefault="00BA51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3EA19" w14:textId="2035D808" w:rsidR="00B25BA4" w:rsidRPr="00B25BA4" w:rsidRDefault="00B25BA4" w:rsidP="00B25BA4">
    <w:pPr>
      <w:pStyle w:val="lfej"/>
      <w:jc w:val="right"/>
      <w:rPr>
        <w:rFonts w:ascii="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3CE"/>
    <w:multiLevelType w:val="multilevel"/>
    <w:tmpl w:val="47B41530"/>
    <w:lvl w:ilvl="0">
      <w:start w:val="1"/>
      <w:numFmt w:val="lowerLetter"/>
      <w:lvlText w:val="%1)"/>
      <w:lvlJc w:val="left"/>
      <w:rPr>
        <w:rFonts w:ascii="Calibri" w:eastAsia="Calibri" w:hAnsi="Calibri" w:cs="Calibri"/>
        <w:b w:val="0"/>
        <w:bCs w:val="0"/>
        <w:i/>
        <w:iCs/>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10665D"/>
    <w:multiLevelType w:val="multilevel"/>
    <w:tmpl w:val="B1E4EDF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924D89"/>
    <w:multiLevelType w:val="multilevel"/>
    <w:tmpl w:val="791EDE1E"/>
    <w:lvl w:ilvl="0">
      <w:start w:val="1"/>
      <w:numFmt w:val="lowerRoman"/>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86098C"/>
    <w:multiLevelType w:val="multilevel"/>
    <w:tmpl w:val="DBCEF84A"/>
    <w:lvl w:ilvl="0">
      <w:start w:val="11"/>
      <w:numFmt w:val="lowerRoman"/>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4A6780"/>
    <w:multiLevelType w:val="multilevel"/>
    <w:tmpl w:val="1044657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EE7526"/>
    <w:multiLevelType w:val="multilevel"/>
    <w:tmpl w:val="F48A1A96"/>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C3056C9"/>
    <w:multiLevelType w:val="multilevel"/>
    <w:tmpl w:val="36D62EF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15370C8"/>
    <w:multiLevelType w:val="multilevel"/>
    <w:tmpl w:val="DB4E0250"/>
    <w:lvl w:ilvl="0">
      <w:start w:val="1"/>
      <w:numFmt w:val="lowerRoman"/>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26D2F27"/>
    <w:multiLevelType w:val="multilevel"/>
    <w:tmpl w:val="5254C5BE"/>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6A06E7"/>
    <w:multiLevelType w:val="multilevel"/>
    <w:tmpl w:val="AD566E9A"/>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8414225">
    <w:abstractNumId w:val="9"/>
  </w:num>
  <w:num w:numId="2" w16cid:durableId="1807158126">
    <w:abstractNumId w:val="1"/>
  </w:num>
  <w:num w:numId="3" w16cid:durableId="615645977">
    <w:abstractNumId w:val="6"/>
  </w:num>
  <w:num w:numId="4" w16cid:durableId="749546885">
    <w:abstractNumId w:val="8"/>
  </w:num>
  <w:num w:numId="5" w16cid:durableId="250507853">
    <w:abstractNumId w:val="5"/>
  </w:num>
  <w:num w:numId="6" w16cid:durableId="211162105">
    <w:abstractNumId w:val="0"/>
  </w:num>
  <w:num w:numId="7" w16cid:durableId="724642347">
    <w:abstractNumId w:val="7"/>
  </w:num>
  <w:num w:numId="8" w16cid:durableId="1394504540">
    <w:abstractNumId w:val="2"/>
  </w:num>
  <w:num w:numId="9" w16cid:durableId="209154294">
    <w:abstractNumId w:val="3"/>
  </w:num>
  <w:num w:numId="10" w16cid:durableId="1950308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1AC"/>
    <w:rsid w:val="002A6F26"/>
    <w:rsid w:val="003C3BC5"/>
    <w:rsid w:val="003D764C"/>
    <w:rsid w:val="004313E0"/>
    <w:rsid w:val="004E27A5"/>
    <w:rsid w:val="005F2F56"/>
    <w:rsid w:val="00652CA0"/>
    <w:rsid w:val="00711256"/>
    <w:rsid w:val="007256AA"/>
    <w:rsid w:val="008A7A3F"/>
    <w:rsid w:val="009B43E9"/>
    <w:rsid w:val="00A658F9"/>
    <w:rsid w:val="00B25BA4"/>
    <w:rsid w:val="00B931C2"/>
    <w:rsid w:val="00BA51AC"/>
    <w:rsid w:val="00BE662C"/>
    <w:rsid w:val="00CE390A"/>
    <w:rsid w:val="00CF4309"/>
    <w:rsid w:val="00D0356C"/>
    <w:rsid w:val="00D604EB"/>
    <w:rsid w:val="00EE7EF4"/>
    <w:rsid w:val="00F85D51"/>
    <w:rsid w:val="00FA3754"/>
    <w:rsid w:val="00FA54B7"/>
    <w:rsid w:val="00FB0F11"/>
  </w:rsids>
  <m:mathPr>
    <m:mathFont m:val="Cambria Math"/>
    <m:brkBin m:val="before"/>
    <m:brkBinSub m:val="--"/>
    <m:smallFrac m:val="0"/>
    <m:dispDef/>
    <m:lMargin m:val="0"/>
    <m:rMargin m:val="0"/>
    <m:defJc m:val="centerGroup"/>
    <m:wrapIndent m:val="1440"/>
    <m:intLim m:val="subSup"/>
    <m:naryLim m:val="undOvr"/>
  </m:mathPr>
  <w:themeFontLang w:val="hu-HU"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6C24F"/>
  <w15:docId w15:val="{BDFB0191-DFAC-4286-86A8-CFF5DD26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hu-HU" w:eastAsia="hu-HU" w:bidi="hu-H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Fejlcvagylblc">
    <w:name w:val="Fejléc vagy lábléc_"/>
    <w:basedOn w:val="Bekezdsalapbettpusa"/>
    <w:link w:val="Fejlcvagylblc0"/>
    <w:rPr>
      <w:rFonts w:ascii="Calibri" w:eastAsia="Calibri" w:hAnsi="Calibri" w:cs="Calibri"/>
      <w:b w:val="0"/>
      <w:bCs w:val="0"/>
      <w:i w:val="0"/>
      <w:iCs w:val="0"/>
      <w:smallCaps w:val="0"/>
      <w:strike w:val="0"/>
      <w:sz w:val="22"/>
      <w:szCs w:val="22"/>
      <w:u w:val="none"/>
      <w:shd w:val="clear" w:color="auto" w:fill="auto"/>
    </w:rPr>
  </w:style>
  <w:style w:type="character" w:customStyle="1" w:styleId="Szvegtrzs">
    <w:name w:val="Szövegtörzs_"/>
    <w:basedOn w:val="Bekezdsalapbettpusa"/>
    <w:link w:val="Szvegtrzs1"/>
    <w:rPr>
      <w:rFonts w:ascii="Calibri" w:eastAsia="Calibri" w:hAnsi="Calibri" w:cs="Calibri"/>
      <w:b w:val="0"/>
      <w:bCs w:val="0"/>
      <w:i w:val="0"/>
      <w:iCs w:val="0"/>
      <w:smallCaps w:val="0"/>
      <w:strike w:val="0"/>
      <w:sz w:val="22"/>
      <w:szCs w:val="22"/>
      <w:u w:val="none"/>
      <w:shd w:val="clear" w:color="auto" w:fill="auto"/>
    </w:rPr>
  </w:style>
  <w:style w:type="character" w:customStyle="1" w:styleId="Cmsor1">
    <w:name w:val="Címsor #1_"/>
    <w:basedOn w:val="Bekezdsalapbettpusa"/>
    <w:link w:val="Cmsor10"/>
    <w:rPr>
      <w:rFonts w:ascii="Calibri" w:eastAsia="Calibri" w:hAnsi="Calibri" w:cs="Calibri"/>
      <w:b/>
      <w:bCs/>
      <w:i w:val="0"/>
      <w:iCs w:val="0"/>
      <w:smallCaps w:val="0"/>
      <w:strike w:val="0"/>
      <w:sz w:val="22"/>
      <w:szCs w:val="22"/>
      <w:u w:val="none"/>
      <w:shd w:val="clear" w:color="auto" w:fill="auto"/>
    </w:rPr>
  </w:style>
  <w:style w:type="paragraph" w:customStyle="1" w:styleId="Fejlcvagylblc0">
    <w:name w:val="Fejléc vagy lábléc"/>
    <w:basedOn w:val="Norml"/>
    <w:link w:val="Fejlcvagylblc"/>
    <w:pPr>
      <w:spacing w:line="257" w:lineRule="auto"/>
      <w:ind w:left="1460"/>
    </w:pPr>
    <w:rPr>
      <w:rFonts w:ascii="Calibri" w:eastAsia="Calibri" w:hAnsi="Calibri" w:cs="Calibri"/>
      <w:sz w:val="22"/>
      <w:szCs w:val="22"/>
    </w:rPr>
  </w:style>
  <w:style w:type="paragraph" w:customStyle="1" w:styleId="Szvegtrzs1">
    <w:name w:val="Szövegtörzs1"/>
    <w:basedOn w:val="Norml"/>
    <w:link w:val="Szvegtrzs"/>
    <w:pPr>
      <w:spacing w:after="180"/>
    </w:pPr>
    <w:rPr>
      <w:rFonts w:ascii="Calibri" w:eastAsia="Calibri" w:hAnsi="Calibri" w:cs="Calibri"/>
      <w:sz w:val="22"/>
      <w:szCs w:val="22"/>
    </w:rPr>
  </w:style>
  <w:style w:type="paragraph" w:customStyle="1" w:styleId="Cmsor10">
    <w:name w:val="Címsor #1"/>
    <w:basedOn w:val="Norml"/>
    <w:link w:val="Cmsor1"/>
    <w:pPr>
      <w:spacing w:after="180"/>
      <w:outlineLvl w:val="0"/>
    </w:pPr>
    <w:rPr>
      <w:rFonts w:ascii="Calibri" w:eastAsia="Calibri" w:hAnsi="Calibri" w:cs="Calibri"/>
      <w:b/>
      <w:bCs/>
      <w:sz w:val="22"/>
      <w:szCs w:val="22"/>
    </w:rPr>
  </w:style>
  <w:style w:type="paragraph" w:styleId="lfej">
    <w:name w:val="header"/>
    <w:basedOn w:val="Norml"/>
    <w:link w:val="lfejChar"/>
    <w:uiPriority w:val="99"/>
    <w:unhideWhenUsed/>
    <w:rsid w:val="00B25BA4"/>
    <w:pPr>
      <w:tabs>
        <w:tab w:val="center" w:pos="4536"/>
        <w:tab w:val="right" w:pos="9072"/>
      </w:tabs>
    </w:pPr>
  </w:style>
  <w:style w:type="character" w:customStyle="1" w:styleId="lfejChar">
    <w:name w:val="Élőfej Char"/>
    <w:basedOn w:val="Bekezdsalapbettpusa"/>
    <w:link w:val="lfej"/>
    <w:uiPriority w:val="99"/>
    <w:rsid w:val="00B25BA4"/>
    <w:rPr>
      <w:color w:val="000000"/>
    </w:rPr>
  </w:style>
  <w:style w:type="paragraph" w:styleId="llb">
    <w:name w:val="footer"/>
    <w:basedOn w:val="Norml"/>
    <w:link w:val="llbChar"/>
    <w:uiPriority w:val="99"/>
    <w:unhideWhenUsed/>
    <w:rsid w:val="00B25BA4"/>
    <w:pPr>
      <w:tabs>
        <w:tab w:val="center" w:pos="4536"/>
        <w:tab w:val="right" w:pos="9072"/>
      </w:tabs>
    </w:pPr>
  </w:style>
  <w:style w:type="character" w:customStyle="1" w:styleId="llbChar">
    <w:name w:val="Élőláb Char"/>
    <w:basedOn w:val="Bekezdsalapbettpusa"/>
    <w:link w:val="llb"/>
    <w:uiPriority w:val="99"/>
    <w:rsid w:val="00B25BA4"/>
    <w:rPr>
      <w:color w:val="000000"/>
    </w:rPr>
  </w:style>
  <w:style w:type="paragraph" w:styleId="Vltozat">
    <w:name w:val="Revision"/>
    <w:hidden/>
    <w:uiPriority w:val="99"/>
    <w:semiHidden/>
    <w:rsid w:val="00D604EB"/>
    <w:pPr>
      <w:widowControl/>
    </w:pPr>
    <w:rPr>
      <w:color w:val="000000"/>
    </w:rPr>
  </w:style>
  <w:style w:type="paragraph" w:styleId="Listaszerbekezds">
    <w:name w:val="List Paragraph"/>
    <w:basedOn w:val="Norml"/>
    <w:uiPriority w:val="34"/>
    <w:qFormat/>
    <w:rsid w:val="007256AA"/>
    <w:pPr>
      <w:ind w:left="720"/>
      <w:contextualSpacing/>
    </w:pPr>
  </w:style>
  <w:style w:type="paragraph" w:styleId="NormlWeb">
    <w:name w:val="Normal (Web)"/>
    <w:basedOn w:val="Norml"/>
    <w:uiPriority w:val="99"/>
    <w:semiHidden/>
    <w:unhideWhenUsed/>
    <w:rsid w:val="007256AA"/>
    <w:pPr>
      <w:widowControl/>
      <w:spacing w:before="100" w:beforeAutospacing="1" w:after="100" w:afterAutospacing="1"/>
    </w:pPr>
    <w:rPr>
      <w:rFonts w:ascii="Times New Roman" w:eastAsia="Times New Roman" w:hAnsi="Times New Roman" w:cs="Times New Roman"/>
      <w:color w:val="auto"/>
      <w:lang w:bidi="ar-SA"/>
    </w:rPr>
  </w:style>
  <w:style w:type="character" w:styleId="Kiemels2">
    <w:name w:val="Strong"/>
    <w:basedOn w:val="Bekezdsalapbettpusa"/>
    <w:uiPriority w:val="22"/>
    <w:qFormat/>
    <w:rsid w:val="007256AA"/>
    <w:rPr>
      <w:b/>
      <w:bCs/>
    </w:rPr>
  </w:style>
  <w:style w:type="character" w:styleId="Jegyzethivatkozs">
    <w:name w:val="annotation reference"/>
    <w:basedOn w:val="Bekezdsalapbettpusa"/>
    <w:uiPriority w:val="99"/>
    <w:semiHidden/>
    <w:unhideWhenUsed/>
    <w:rsid w:val="007256AA"/>
    <w:rPr>
      <w:sz w:val="16"/>
      <w:szCs w:val="16"/>
    </w:rPr>
  </w:style>
  <w:style w:type="paragraph" w:styleId="Jegyzetszveg">
    <w:name w:val="annotation text"/>
    <w:basedOn w:val="Norml"/>
    <w:link w:val="JegyzetszvegChar"/>
    <w:uiPriority w:val="99"/>
    <w:semiHidden/>
    <w:unhideWhenUsed/>
    <w:rsid w:val="007256AA"/>
    <w:rPr>
      <w:sz w:val="20"/>
      <w:szCs w:val="20"/>
    </w:rPr>
  </w:style>
  <w:style w:type="character" w:customStyle="1" w:styleId="JegyzetszvegChar">
    <w:name w:val="Jegyzetszöveg Char"/>
    <w:basedOn w:val="Bekezdsalapbettpusa"/>
    <w:link w:val="Jegyzetszveg"/>
    <w:uiPriority w:val="99"/>
    <w:semiHidden/>
    <w:rsid w:val="007256AA"/>
    <w:rPr>
      <w:color w:val="000000"/>
      <w:sz w:val="20"/>
      <w:szCs w:val="20"/>
    </w:rPr>
  </w:style>
  <w:style w:type="paragraph" w:styleId="Megjegyzstrgya">
    <w:name w:val="annotation subject"/>
    <w:basedOn w:val="Jegyzetszveg"/>
    <w:next w:val="Jegyzetszveg"/>
    <w:link w:val="MegjegyzstrgyaChar"/>
    <w:uiPriority w:val="99"/>
    <w:semiHidden/>
    <w:unhideWhenUsed/>
    <w:rsid w:val="007256AA"/>
    <w:rPr>
      <w:b/>
      <w:bCs/>
    </w:rPr>
  </w:style>
  <w:style w:type="character" w:customStyle="1" w:styleId="MegjegyzstrgyaChar">
    <w:name w:val="Megjegyzés tárgya Char"/>
    <w:basedOn w:val="JegyzetszvegChar"/>
    <w:link w:val="Megjegyzstrgya"/>
    <w:uiPriority w:val="99"/>
    <w:semiHidden/>
    <w:rsid w:val="007256AA"/>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472287">
      <w:bodyDiv w:val="1"/>
      <w:marLeft w:val="0"/>
      <w:marRight w:val="0"/>
      <w:marTop w:val="0"/>
      <w:marBottom w:val="0"/>
      <w:divBdr>
        <w:top w:val="none" w:sz="0" w:space="0" w:color="auto"/>
        <w:left w:val="none" w:sz="0" w:space="0" w:color="auto"/>
        <w:bottom w:val="none" w:sz="0" w:space="0" w:color="auto"/>
        <w:right w:val="none" w:sz="0" w:space="0" w:color="auto"/>
      </w:divBdr>
    </w:div>
    <w:div w:id="160853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hyperlink" Target="https://www.irs.gov/businesses/corporations/foreign-account-tax-compliance-act-fatca" TargetMode="External"/><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magnetbank.hu" TargetMode="External"/><Relationship Id="rId22" Type="http://schemas.openxmlformats.org/officeDocument/2006/relationships/image" Target="media/image13.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2765</Words>
  <Characters>19084</Characters>
  <Application>Microsoft Office Word</Application>
  <DocSecurity>0</DocSecurity>
  <Lines>159</Lines>
  <Paragraphs>43</Paragraphs>
  <ScaleCrop>false</ScaleCrop>
  <Company/>
  <LinksUpToDate>false</LinksUpToDate>
  <CharactersWithSpaces>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Varga-Schuller Tímea</dc:creator>
  <cp:lastModifiedBy>Kallós Virág</cp:lastModifiedBy>
  <cp:revision>6</cp:revision>
  <dcterms:created xsi:type="dcterms:W3CDTF">2026-07-24T06:37:00Z</dcterms:created>
  <dcterms:modified xsi:type="dcterms:W3CDTF">2026-08-10T07:56:00Z</dcterms:modified>
</cp:coreProperties>
</file>